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621CB" w14:textId="067B309B" w:rsidR="00CA73C3" w:rsidRDefault="00050AC1" w:rsidP="00A31972">
      <w:pPr>
        <w:pStyle w:val="Heading1"/>
        <w:rPr>
          <w:rFonts w:eastAsia="Times New Roman"/>
          <w:lang w:val="en-CA"/>
        </w:rPr>
      </w:pPr>
      <w:r>
        <w:rPr>
          <w:rFonts w:eastAsia="Times New Roman"/>
          <w:lang w:val="en-CA"/>
        </w:rPr>
        <w:t>3.7.</w:t>
      </w:r>
      <w:r w:rsidR="0008442C">
        <w:rPr>
          <w:rFonts w:eastAsia="Times New Roman"/>
          <w:lang w:val="en-CA"/>
        </w:rPr>
        <w:t>5</w:t>
      </w:r>
      <w:r>
        <w:rPr>
          <w:rFonts w:eastAsia="Times New Roman"/>
          <w:lang w:val="en-CA"/>
        </w:rPr>
        <w:t xml:space="preserve"> </w:t>
      </w:r>
      <w:r w:rsidR="007F1781">
        <w:t>Crisantaspase (</w:t>
      </w:r>
      <w:proofErr w:type="spellStart"/>
      <w:r w:rsidR="007F1781">
        <w:t>Rylaze</w:t>
      </w:r>
      <w:proofErr w:type="spellEnd"/>
      <w:r w:rsidR="007F1781">
        <w:t>) Asparaginase Module</w:t>
      </w:r>
    </w:p>
    <w:tbl>
      <w:tblPr>
        <w:tblStyle w:val="TableGrid"/>
        <w:tblW w:w="0" w:type="auto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26D24" w14:paraId="7868BC53" w14:textId="77777777" w:rsidTr="00526D24">
        <w:tc>
          <w:tcPr>
            <w:tcW w:w="3116" w:type="dxa"/>
            <w:shd w:val="clear" w:color="auto" w:fill="0075BF" w:themeFill="text2"/>
          </w:tcPr>
          <w:p w14:paraId="6EEB4415" w14:textId="77777777" w:rsidR="00526D24" w:rsidRPr="00526D24" w:rsidRDefault="00526D24" w:rsidP="00526D24">
            <w:pPr>
              <w:pStyle w:val="NoSpacing"/>
              <w:jc w:val="center"/>
              <w:rPr>
                <w:b/>
                <w:color w:val="FFFFFF" w:themeColor="background1"/>
                <w:lang w:val="en-CA"/>
              </w:rPr>
            </w:pPr>
            <w:r w:rsidRPr="00526D24">
              <w:rPr>
                <w:b/>
                <w:color w:val="FFFFFF" w:themeColor="background1"/>
                <w:lang w:val="en-CA"/>
              </w:rPr>
              <w:t>Original Date</w:t>
            </w:r>
          </w:p>
        </w:tc>
        <w:tc>
          <w:tcPr>
            <w:tcW w:w="3117" w:type="dxa"/>
            <w:shd w:val="clear" w:color="auto" w:fill="0075BF" w:themeFill="text2"/>
          </w:tcPr>
          <w:p w14:paraId="529FC394" w14:textId="77777777" w:rsidR="00526D24" w:rsidRPr="00526D24" w:rsidRDefault="00526D24" w:rsidP="00526D24">
            <w:pPr>
              <w:pStyle w:val="NoSpacing"/>
              <w:jc w:val="center"/>
              <w:rPr>
                <w:b/>
                <w:color w:val="FFFFFF" w:themeColor="background1"/>
                <w:lang w:val="en-CA"/>
              </w:rPr>
            </w:pPr>
            <w:r w:rsidRPr="00526D24">
              <w:rPr>
                <w:b/>
                <w:color w:val="FFFFFF" w:themeColor="background1"/>
                <w:lang w:val="en-CA"/>
              </w:rPr>
              <w:t>Next Review Date</w:t>
            </w:r>
          </w:p>
        </w:tc>
        <w:tc>
          <w:tcPr>
            <w:tcW w:w="3117" w:type="dxa"/>
            <w:shd w:val="clear" w:color="auto" w:fill="0075BF" w:themeFill="text2"/>
          </w:tcPr>
          <w:p w14:paraId="561ED89C" w14:textId="77777777" w:rsidR="00526D24" w:rsidRPr="00526D24" w:rsidRDefault="00526D24" w:rsidP="00526D24">
            <w:pPr>
              <w:pStyle w:val="NoSpacing"/>
              <w:jc w:val="center"/>
              <w:rPr>
                <w:b/>
                <w:color w:val="FFFFFF" w:themeColor="background1"/>
                <w:lang w:val="en-CA"/>
              </w:rPr>
            </w:pPr>
            <w:r w:rsidRPr="00526D24">
              <w:rPr>
                <w:b/>
                <w:color w:val="FFFFFF" w:themeColor="background1"/>
                <w:lang w:val="en-CA"/>
              </w:rPr>
              <w:t>Last Revision Date(s)</w:t>
            </w:r>
          </w:p>
        </w:tc>
      </w:tr>
      <w:tr w:rsidR="00526D24" w14:paraId="3A155FE0" w14:textId="77777777" w:rsidTr="00526D24">
        <w:tc>
          <w:tcPr>
            <w:tcW w:w="3116" w:type="dxa"/>
          </w:tcPr>
          <w:p w14:paraId="650DAC51" w14:textId="114FBFF3" w:rsidR="00526D24" w:rsidRDefault="007F1781" w:rsidP="00526D24">
            <w:pPr>
              <w:pStyle w:val="NoSpacing"/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February </w:t>
            </w:r>
            <w:r w:rsidR="00091B3B">
              <w:rPr>
                <w:lang w:val="en-CA"/>
              </w:rPr>
              <w:t>2024</w:t>
            </w:r>
          </w:p>
        </w:tc>
        <w:tc>
          <w:tcPr>
            <w:tcW w:w="3117" w:type="dxa"/>
          </w:tcPr>
          <w:p w14:paraId="58989C7B" w14:textId="6928A38A" w:rsidR="00526D24" w:rsidRDefault="00B71653" w:rsidP="003C5ADD">
            <w:pPr>
              <w:pStyle w:val="NoSpacing"/>
              <w:jc w:val="center"/>
              <w:rPr>
                <w:lang w:val="en-CA"/>
              </w:rPr>
            </w:pPr>
            <w:r>
              <w:rPr>
                <w:lang w:val="en-CA"/>
              </w:rPr>
              <w:t>February 2026</w:t>
            </w:r>
          </w:p>
        </w:tc>
        <w:tc>
          <w:tcPr>
            <w:tcW w:w="3117" w:type="dxa"/>
          </w:tcPr>
          <w:p w14:paraId="71B7FA97" w14:textId="4D56D648" w:rsidR="00526D24" w:rsidRDefault="00B71653" w:rsidP="00526D24">
            <w:pPr>
              <w:pStyle w:val="NoSpacing"/>
              <w:jc w:val="center"/>
              <w:rPr>
                <w:lang w:val="en-CA"/>
              </w:rPr>
            </w:pPr>
            <w:r>
              <w:rPr>
                <w:lang w:val="en-CA"/>
              </w:rPr>
              <w:t>February 2024</w:t>
            </w:r>
          </w:p>
        </w:tc>
      </w:tr>
    </w:tbl>
    <w:p w14:paraId="1C79F518" w14:textId="77777777" w:rsidR="00AA4D95" w:rsidRDefault="00AA4D95" w:rsidP="00946E1C">
      <w:pPr>
        <w:pStyle w:val="Heading2"/>
        <w:spacing w:before="240"/>
      </w:pPr>
      <w:r>
        <w:t>Classification</w:t>
      </w:r>
    </w:p>
    <w:p w14:paraId="0DBC6806" w14:textId="77777777" w:rsidR="00AA4D95" w:rsidRDefault="00AA4D95" w:rsidP="00AA4D95">
      <w:r>
        <w:t>Antineoplastic, Miscellaneous</w:t>
      </w:r>
    </w:p>
    <w:p w14:paraId="6C7127FD" w14:textId="77777777" w:rsidR="00AA4D95" w:rsidRDefault="00AA4D95" w:rsidP="00AA4D95">
      <w:pPr>
        <w:pStyle w:val="Heading2"/>
      </w:pPr>
      <w:r>
        <w:t>Indications, Contraindications and Dosing</w:t>
      </w:r>
    </w:p>
    <w:p w14:paraId="4C17F62B" w14:textId="77777777" w:rsidR="00AA4D95" w:rsidRPr="009C2BB5" w:rsidRDefault="00AA4D95" w:rsidP="002425D4">
      <w:pPr>
        <w:spacing w:after="40"/>
        <w:rPr>
          <w:b/>
          <w:bCs/>
          <w:sz w:val="24"/>
          <w:szCs w:val="24"/>
        </w:rPr>
      </w:pPr>
      <w:r w:rsidRPr="009C2BB5">
        <w:rPr>
          <w:b/>
          <w:bCs/>
          <w:sz w:val="24"/>
          <w:szCs w:val="24"/>
        </w:rPr>
        <w:t>Indications</w:t>
      </w:r>
    </w:p>
    <w:p w14:paraId="4663748A" w14:textId="2A642E50" w:rsidR="00AA4D95" w:rsidRDefault="00AA4D95" w:rsidP="00AA4D95">
      <w:r>
        <w:t>Acute lymphoblastic leukemia and lymphoma</w:t>
      </w:r>
    </w:p>
    <w:p w14:paraId="2FB96363" w14:textId="67F7189C" w:rsidR="00AA4D95" w:rsidRDefault="00AA4D95" w:rsidP="00AA4D95">
      <w:r>
        <w:t xml:space="preserve">Crisantaspase is indicated for treatment of Acute Lymphoblastic Leukemia and Lymphoblastic Lymphoma patients who are intolerant of front line asparaginase therapy with </w:t>
      </w:r>
      <w:proofErr w:type="spellStart"/>
      <w:r>
        <w:t>pegaspargase</w:t>
      </w:r>
      <w:proofErr w:type="spellEnd"/>
      <w:r>
        <w:t xml:space="preserve"> (</w:t>
      </w:r>
      <w:proofErr w:type="spellStart"/>
      <w:r>
        <w:t>Oncaspar</w:t>
      </w:r>
      <w:proofErr w:type="spellEnd"/>
      <w:r>
        <w:t xml:space="preserve">) or </w:t>
      </w:r>
      <w:proofErr w:type="spellStart"/>
      <w:r>
        <w:t>c</w:t>
      </w:r>
      <w:r w:rsidRPr="00777CCF">
        <w:t>alaspargase</w:t>
      </w:r>
      <w:proofErr w:type="spellEnd"/>
      <w:r w:rsidRPr="00777CCF">
        <w:t xml:space="preserve"> pegol (</w:t>
      </w:r>
      <w:proofErr w:type="spellStart"/>
      <w:r w:rsidRPr="00777CCF">
        <w:t>Asparlas</w:t>
      </w:r>
      <w:proofErr w:type="spellEnd"/>
      <w:r w:rsidRPr="00777CCF">
        <w:t xml:space="preserve">) </w:t>
      </w:r>
      <w:r>
        <w:t xml:space="preserve">due to allergic reactions or silent inactivation noted by Therapeutic Drug Monitoring (TDM).  </w:t>
      </w:r>
    </w:p>
    <w:p w14:paraId="76268B3A" w14:textId="77777777" w:rsidR="00AA4D95" w:rsidRPr="00EC1C1A" w:rsidRDefault="00AA4D95" w:rsidP="00572D2A">
      <w:pPr>
        <w:spacing w:after="40"/>
        <w:rPr>
          <w:b/>
          <w:bCs/>
          <w:sz w:val="24"/>
          <w:szCs w:val="24"/>
        </w:rPr>
      </w:pPr>
      <w:r w:rsidRPr="00EC1C1A">
        <w:rPr>
          <w:b/>
          <w:bCs/>
          <w:sz w:val="24"/>
          <w:szCs w:val="24"/>
        </w:rPr>
        <w:t>Contraindications</w:t>
      </w:r>
    </w:p>
    <w:p w14:paraId="3FB82E1A" w14:textId="77777777" w:rsidR="00AA4D95" w:rsidRDefault="00AA4D95" w:rsidP="00AA4D95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Known serious allergy to Erwinia Asparaginase </w:t>
      </w:r>
    </w:p>
    <w:p w14:paraId="17CD6301" w14:textId="170D5459" w:rsidR="00AA4D95" w:rsidRDefault="00AA4D95" w:rsidP="00AA4D95">
      <w:pPr>
        <w:pStyle w:val="ListParagraph"/>
        <w:numPr>
          <w:ilvl w:val="0"/>
          <w:numId w:val="9"/>
        </w:numPr>
        <w:spacing w:after="0" w:line="240" w:lineRule="auto"/>
      </w:pPr>
      <w:r>
        <w:t>All asparaginase products are contraindicated in patients with a history of severe asparaginase-induced pancreatitis with prior therapy</w:t>
      </w:r>
      <w:r w:rsidR="00B71653">
        <w:t xml:space="preserve">  </w:t>
      </w:r>
    </w:p>
    <w:p w14:paraId="09169ADF" w14:textId="24A87F0F" w:rsidR="00AA4D95" w:rsidRDefault="00AA4D95" w:rsidP="005961E4">
      <w:pPr>
        <w:pStyle w:val="ListParagraph"/>
        <w:numPr>
          <w:ilvl w:val="0"/>
          <w:numId w:val="9"/>
        </w:numPr>
        <w:spacing w:line="240" w:lineRule="auto"/>
      </w:pPr>
      <w:r>
        <w:t>Significant asparaginase related thrombosis or hemorrhage may also lead to relative contraindication</w:t>
      </w:r>
    </w:p>
    <w:p w14:paraId="43401C8D" w14:textId="77777777" w:rsidR="00AA4D95" w:rsidRPr="00EC1C1A" w:rsidRDefault="00AA4D95" w:rsidP="00572D2A">
      <w:pPr>
        <w:spacing w:after="40"/>
        <w:rPr>
          <w:b/>
          <w:bCs/>
          <w:sz w:val="24"/>
          <w:szCs w:val="24"/>
        </w:rPr>
      </w:pPr>
      <w:r w:rsidRPr="00EC1C1A">
        <w:rPr>
          <w:b/>
          <w:bCs/>
          <w:sz w:val="24"/>
          <w:szCs w:val="24"/>
        </w:rPr>
        <w:t>Reimbursement</w:t>
      </w:r>
    </w:p>
    <w:p w14:paraId="3954A6B0" w14:textId="6481028E" w:rsidR="00AA4D95" w:rsidRDefault="00AA4D95" w:rsidP="005961E4">
      <w:pPr>
        <w:pStyle w:val="ListParagraph"/>
        <w:numPr>
          <w:ilvl w:val="0"/>
          <w:numId w:val="14"/>
        </w:numPr>
        <w:spacing w:line="240" w:lineRule="auto"/>
      </w:pPr>
      <w:r>
        <w:t xml:space="preserve">Per Vial reimbursement is provided via the </w:t>
      </w:r>
      <w:proofErr w:type="spellStart"/>
      <w:r>
        <w:t>eClaims</w:t>
      </w:r>
      <w:proofErr w:type="spellEnd"/>
      <w:r>
        <w:t xml:space="preserve"> system of the New Drug Funding Program (NDFP) from CCO/Ontario Health</w:t>
      </w:r>
    </w:p>
    <w:p w14:paraId="7F8B8227" w14:textId="77777777" w:rsidR="00AA4D95" w:rsidRPr="00ED63C2" w:rsidRDefault="00AA4D95" w:rsidP="00966641">
      <w:pPr>
        <w:spacing w:after="40"/>
        <w:rPr>
          <w:b/>
          <w:bCs/>
          <w:sz w:val="24"/>
          <w:szCs w:val="24"/>
        </w:rPr>
      </w:pPr>
      <w:r w:rsidRPr="00ED63C2">
        <w:rPr>
          <w:b/>
          <w:bCs/>
          <w:sz w:val="24"/>
          <w:szCs w:val="24"/>
        </w:rPr>
        <w:t>Dosing</w:t>
      </w:r>
    </w:p>
    <w:p w14:paraId="260D18AB" w14:textId="77777777" w:rsidR="00AA4D95" w:rsidRDefault="00AA4D95" w:rsidP="007A4E83">
      <w:pPr>
        <w:spacing w:after="120"/>
      </w:pPr>
      <w:r>
        <w:t>Currently, only intramuscular dosing is approved by health Canada.  Unlike other alternative asparaginase products (i.e. Erwinia Asparaginase) the dosing is VARIABLE based on day:</w:t>
      </w:r>
    </w:p>
    <w:p w14:paraId="5F780D65" w14:textId="77777777" w:rsidR="00AA4D95" w:rsidRDefault="00AA4D95" w:rsidP="005E3632">
      <w:pPr>
        <w:spacing w:after="0"/>
      </w:pPr>
      <w:r>
        <w:t>Monday: 25mg/m</w:t>
      </w:r>
      <w:r w:rsidRPr="00F05C52">
        <w:rPr>
          <w:vertAlign w:val="superscript"/>
        </w:rPr>
        <w:t>2</w:t>
      </w:r>
    </w:p>
    <w:p w14:paraId="1BA6BB27" w14:textId="77777777" w:rsidR="00AA4D95" w:rsidRDefault="00AA4D95" w:rsidP="005E3632">
      <w:pPr>
        <w:spacing w:after="0"/>
      </w:pPr>
      <w:r>
        <w:t>Wednesday 25mg/m</w:t>
      </w:r>
      <w:r w:rsidRPr="00F05C52">
        <w:rPr>
          <w:vertAlign w:val="superscript"/>
        </w:rPr>
        <w:t>2</w:t>
      </w:r>
    </w:p>
    <w:p w14:paraId="66668A60" w14:textId="77777777" w:rsidR="00AA4D95" w:rsidRPr="00233DB0" w:rsidRDefault="00AA4D95" w:rsidP="007A4E83">
      <w:pPr>
        <w:spacing w:after="120"/>
        <w:rPr>
          <w:b/>
          <w:bCs/>
        </w:rPr>
      </w:pPr>
      <w:r w:rsidRPr="00233DB0">
        <w:rPr>
          <w:b/>
          <w:bCs/>
        </w:rPr>
        <w:t>Friday 50mg/m</w:t>
      </w:r>
      <w:r w:rsidRPr="00233DB0">
        <w:rPr>
          <w:b/>
          <w:bCs/>
          <w:vertAlign w:val="superscript"/>
        </w:rPr>
        <w:t>2</w:t>
      </w:r>
    </w:p>
    <w:p w14:paraId="14B48678" w14:textId="2618B559" w:rsidR="00AA4D95" w:rsidRPr="001A3FD0" w:rsidRDefault="00AA4D95" w:rsidP="00AA4D95">
      <w:r w:rsidRPr="001A3FD0">
        <w:t>*</w:t>
      </w:r>
      <w:r w:rsidR="007313F6" w:rsidRPr="001A3FD0">
        <w:t>S</w:t>
      </w:r>
      <w:r w:rsidRPr="001A3FD0">
        <w:t>pecial care should be taken to ensure any pre-printed orders or electronic order sets have the proper dose associated with each day</w:t>
      </w:r>
      <w:r w:rsidR="00572D2A" w:rsidRPr="001A3FD0">
        <w:t>.</w:t>
      </w:r>
    </w:p>
    <w:p w14:paraId="6C975367" w14:textId="77777777" w:rsidR="00AA4D95" w:rsidRDefault="00AA4D95" w:rsidP="00AA4D95">
      <w:pPr>
        <w:pStyle w:val="Heading2"/>
      </w:pPr>
      <w:r>
        <w:t>Pharmacy Considerations</w:t>
      </w:r>
    </w:p>
    <w:tbl>
      <w:tblPr>
        <w:tblStyle w:val="TableGrid"/>
        <w:tblW w:w="0" w:type="auto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885"/>
        <w:gridCol w:w="7465"/>
      </w:tblGrid>
      <w:tr w:rsidR="00E7741D" w14:paraId="38C4D8D6" w14:textId="77777777" w:rsidTr="00B703ED">
        <w:tc>
          <w:tcPr>
            <w:tcW w:w="1885" w:type="dxa"/>
            <w:shd w:val="clear" w:color="auto" w:fill="0075BF" w:themeFill="text2"/>
            <w:vAlign w:val="center"/>
          </w:tcPr>
          <w:p w14:paraId="4FF405FC" w14:textId="77777777" w:rsidR="00E7741D" w:rsidRPr="00F51B0B" w:rsidRDefault="00E7741D" w:rsidP="00B703ED">
            <w:pPr>
              <w:pStyle w:val="NoSpacing"/>
              <w:rPr>
                <w:b/>
                <w:color w:val="FFFFFF" w:themeColor="background1"/>
                <w:lang w:val="en-CA"/>
              </w:rPr>
            </w:pPr>
            <w:r w:rsidRPr="00F51B0B">
              <w:rPr>
                <w:b/>
                <w:color w:val="FFFFFF" w:themeColor="background1"/>
                <w:lang w:val="en-CA"/>
              </w:rPr>
              <w:t>Reconstitution</w:t>
            </w:r>
          </w:p>
        </w:tc>
        <w:tc>
          <w:tcPr>
            <w:tcW w:w="7465" w:type="dxa"/>
          </w:tcPr>
          <w:p w14:paraId="2CA7B483" w14:textId="0B7F2BE3" w:rsidR="00E7741D" w:rsidRDefault="00E7741D" w:rsidP="00B703ED">
            <w:pPr>
              <w:pStyle w:val="NoSpacing"/>
              <w:rPr>
                <w:lang w:val="en-CA"/>
              </w:rPr>
            </w:pPr>
            <w:r w:rsidRPr="00E7741D">
              <w:rPr>
                <w:lang w:val="en-CA"/>
              </w:rPr>
              <w:t>Vials come ready to inject, no reconstitution required</w:t>
            </w:r>
            <w:r w:rsidR="00844D44">
              <w:rPr>
                <w:lang w:val="en-CA"/>
              </w:rPr>
              <w:t>.</w:t>
            </w:r>
          </w:p>
        </w:tc>
      </w:tr>
      <w:tr w:rsidR="00E7741D" w14:paraId="1CE67C9A" w14:textId="77777777" w:rsidTr="00B703ED">
        <w:tc>
          <w:tcPr>
            <w:tcW w:w="1885" w:type="dxa"/>
            <w:shd w:val="clear" w:color="auto" w:fill="0075BF" w:themeFill="text2"/>
            <w:vAlign w:val="center"/>
          </w:tcPr>
          <w:p w14:paraId="72BF5C03" w14:textId="77777777" w:rsidR="00E7741D" w:rsidRPr="00F51B0B" w:rsidRDefault="00E7741D" w:rsidP="00B703ED">
            <w:pPr>
              <w:pStyle w:val="NoSpacing"/>
              <w:rPr>
                <w:b/>
                <w:color w:val="FFFFFF" w:themeColor="background1"/>
                <w:lang w:val="en-CA"/>
              </w:rPr>
            </w:pPr>
            <w:r w:rsidRPr="00F51B0B">
              <w:rPr>
                <w:b/>
                <w:color w:val="FFFFFF" w:themeColor="background1"/>
                <w:lang w:val="en-CA"/>
              </w:rPr>
              <w:lastRenderedPageBreak/>
              <w:t>Stability</w:t>
            </w:r>
          </w:p>
        </w:tc>
        <w:tc>
          <w:tcPr>
            <w:tcW w:w="7465" w:type="dxa"/>
          </w:tcPr>
          <w:p w14:paraId="2F6B6DD6" w14:textId="78D24E80" w:rsidR="006A539E" w:rsidRPr="006A539E" w:rsidRDefault="006A539E" w:rsidP="006A539E">
            <w:pPr>
              <w:pStyle w:val="NoSpacing"/>
              <w:rPr>
                <w:lang w:val="en-CA"/>
              </w:rPr>
            </w:pPr>
            <w:r w:rsidRPr="006A539E">
              <w:rPr>
                <w:lang w:val="en-CA"/>
              </w:rPr>
              <w:t>Crisantaspase should be administered within 4 hours of being drawn into a syringe</w:t>
            </w:r>
            <w:r w:rsidR="00844D44">
              <w:rPr>
                <w:lang w:val="en-CA"/>
              </w:rPr>
              <w:t>.</w:t>
            </w:r>
          </w:p>
          <w:p w14:paraId="5596FFF7" w14:textId="5E7D3651" w:rsidR="00E7741D" w:rsidRDefault="006A539E" w:rsidP="006A539E">
            <w:pPr>
              <w:pStyle w:val="NoSpacing"/>
              <w:rPr>
                <w:lang w:val="en-CA"/>
              </w:rPr>
            </w:pPr>
            <w:r w:rsidRPr="006A539E">
              <w:rPr>
                <w:lang w:val="en-CA"/>
              </w:rPr>
              <w:t>A limit of 2ml should be given per IM site. If the dose is greater than 2ml, use multiple injection sites</w:t>
            </w:r>
            <w:r w:rsidR="00844D44">
              <w:rPr>
                <w:lang w:val="en-CA"/>
              </w:rPr>
              <w:t>.</w:t>
            </w:r>
          </w:p>
        </w:tc>
      </w:tr>
      <w:tr w:rsidR="00E7741D" w14:paraId="7B46FA74" w14:textId="77777777" w:rsidTr="00B703ED">
        <w:tc>
          <w:tcPr>
            <w:tcW w:w="1885" w:type="dxa"/>
            <w:shd w:val="clear" w:color="auto" w:fill="0075BF" w:themeFill="text2"/>
            <w:vAlign w:val="center"/>
          </w:tcPr>
          <w:p w14:paraId="5D3C5A20" w14:textId="77777777" w:rsidR="00E7741D" w:rsidRPr="00F51B0B" w:rsidRDefault="00E7741D" w:rsidP="00B703ED">
            <w:pPr>
              <w:pStyle w:val="NoSpacing"/>
              <w:rPr>
                <w:b/>
                <w:color w:val="FFFFFF" w:themeColor="background1"/>
                <w:lang w:val="en-CA"/>
              </w:rPr>
            </w:pPr>
            <w:r w:rsidRPr="00F51B0B">
              <w:rPr>
                <w:b/>
                <w:color w:val="FFFFFF" w:themeColor="background1"/>
                <w:lang w:val="en-CA"/>
              </w:rPr>
              <w:t>Pre-Medications</w:t>
            </w:r>
          </w:p>
        </w:tc>
        <w:tc>
          <w:tcPr>
            <w:tcW w:w="7465" w:type="dxa"/>
          </w:tcPr>
          <w:p w14:paraId="558D5845" w14:textId="77777777" w:rsidR="00B35D2C" w:rsidRPr="00B35D2C" w:rsidRDefault="00B35D2C" w:rsidP="00B35D2C">
            <w:pPr>
              <w:pStyle w:val="NoSpacing"/>
              <w:rPr>
                <w:lang w:val="en-CA"/>
              </w:rPr>
            </w:pPr>
            <w:r w:rsidRPr="00B35D2C">
              <w:rPr>
                <w:lang w:val="en-CA"/>
              </w:rPr>
              <w:t>Please consult the specialized childhood cancer program regarding pre-</w:t>
            </w:r>
          </w:p>
          <w:p w14:paraId="6F5A6E51" w14:textId="16F656AE" w:rsidR="00E7741D" w:rsidRDefault="00B35D2C" w:rsidP="00B35D2C">
            <w:pPr>
              <w:pStyle w:val="NoSpacing"/>
              <w:rPr>
                <w:lang w:val="en-CA"/>
              </w:rPr>
            </w:pPr>
            <w:r w:rsidRPr="00B35D2C">
              <w:rPr>
                <w:lang w:val="en-CA"/>
              </w:rPr>
              <w:t>medication as it may be given prior to administration to decrease risk of allergic</w:t>
            </w:r>
            <w:r>
              <w:rPr>
                <w:lang w:val="en-CA"/>
              </w:rPr>
              <w:t xml:space="preserve"> </w:t>
            </w:r>
            <w:r w:rsidRPr="00B35D2C">
              <w:rPr>
                <w:lang w:val="en-CA"/>
              </w:rPr>
              <w:t>reaction.</w:t>
            </w:r>
          </w:p>
        </w:tc>
      </w:tr>
    </w:tbl>
    <w:p w14:paraId="33B679E7" w14:textId="77777777" w:rsidR="00F81342" w:rsidRDefault="00F81342" w:rsidP="00223CD7">
      <w:pPr>
        <w:pStyle w:val="Heading2"/>
        <w:tabs>
          <w:tab w:val="left" w:pos="3364"/>
        </w:tabs>
      </w:pPr>
    </w:p>
    <w:p w14:paraId="322C0F80" w14:textId="25687753" w:rsidR="00AA4D95" w:rsidRDefault="00AA4D95" w:rsidP="00223CD7">
      <w:pPr>
        <w:pStyle w:val="Heading2"/>
        <w:tabs>
          <w:tab w:val="left" w:pos="3364"/>
        </w:tabs>
      </w:pPr>
      <w:r>
        <w:t>Pediatric Administration</w:t>
      </w:r>
    </w:p>
    <w:tbl>
      <w:tblPr>
        <w:tblStyle w:val="TableGrid"/>
        <w:tblW w:w="0" w:type="auto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515"/>
        <w:gridCol w:w="6835"/>
      </w:tblGrid>
      <w:tr w:rsidR="00223CD7" w14:paraId="7D575129" w14:textId="77777777" w:rsidTr="00B703ED">
        <w:tc>
          <w:tcPr>
            <w:tcW w:w="2515" w:type="dxa"/>
            <w:shd w:val="clear" w:color="auto" w:fill="0075BF" w:themeFill="text2"/>
          </w:tcPr>
          <w:p w14:paraId="5AFF7D67" w14:textId="77777777" w:rsidR="00223CD7" w:rsidRPr="00742944" w:rsidRDefault="00223CD7" w:rsidP="00B703ED">
            <w:pPr>
              <w:pStyle w:val="NoSpacing"/>
              <w:rPr>
                <w:b/>
                <w:color w:val="FFFFFF" w:themeColor="background1"/>
                <w:lang w:val="en-CA"/>
              </w:rPr>
            </w:pPr>
            <w:r w:rsidRPr="00742944">
              <w:rPr>
                <w:b/>
                <w:color w:val="FFFFFF" w:themeColor="background1"/>
                <w:lang w:val="en-CA"/>
              </w:rPr>
              <w:t>Sub-cutaneous</w:t>
            </w:r>
          </w:p>
        </w:tc>
        <w:tc>
          <w:tcPr>
            <w:tcW w:w="6835" w:type="dxa"/>
          </w:tcPr>
          <w:p w14:paraId="167ABAA7" w14:textId="77777777" w:rsidR="00223CD7" w:rsidRDefault="00223CD7" w:rsidP="00B703ED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NO</w:t>
            </w:r>
          </w:p>
        </w:tc>
      </w:tr>
      <w:tr w:rsidR="00223CD7" w14:paraId="57D97DC7" w14:textId="77777777" w:rsidTr="00B703ED">
        <w:tc>
          <w:tcPr>
            <w:tcW w:w="2515" w:type="dxa"/>
            <w:shd w:val="clear" w:color="auto" w:fill="0075BF" w:themeFill="text2"/>
          </w:tcPr>
          <w:p w14:paraId="19D19073" w14:textId="77777777" w:rsidR="00223CD7" w:rsidRPr="00742944" w:rsidRDefault="00223CD7" w:rsidP="00B703ED">
            <w:pPr>
              <w:pStyle w:val="NoSpacing"/>
              <w:rPr>
                <w:b/>
                <w:color w:val="FFFFFF" w:themeColor="background1"/>
                <w:lang w:val="en-CA"/>
              </w:rPr>
            </w:pPr>
            <w:r w:rsidRPr="00742944">
              <w:rPr>
                <w:b/>
                <w:color w:val="FFFFFF" w:themeColor="background1"/>
                <w:lang w:val="en-CA"/>
              </w:rPr>
              <w:t>Intramuscular (IM)</w:t>
            </w:r>
          </w:p>
        </w:tc>
        <w:tc>
          <w:tcPr>
            <w:tcW w:w="6835" w:type="dxa"/>
          </w:tcPr>
          <w:p w14:paraId="16A22D9E" w14:textId="77777777" w:rsidR="00223CD7" w:rsidRDefault="00223CD7" w:rsidP="00B703ED">
            <w:pPr>
              <w:pStyle w:val="NoSpacing"/>
              <w:rPr>
                <w:lang w:val="en-CA"/>
              </w:rPr>
            </w:pPr>
            <w:r w:rsidRPr="00223CD7">
              <w:rPr>
                <w:lang w:val="en-CA"/>
              </w:rPr>
              <w:t>YES, inject into a large muscle **Maximum 2 mL per injection site**</w:t>
            </w:r>
          </w:p>
          <w:p w14:paraId="179F5DAD" w14:textId="25FF79A6" w:rsidR="006B0785" w:rsidRDefault="006B0785" w:rsidP="00B703ED">
            <w:pPr>
              <w:pStyle w:val="NoSpacing"/>
              <w:rPr>
                <w:lang w:val="en-CA"/>
              </w:rPr>
            </w:pPr>
            <w:r w:rsidRPr="006B0785">
              <w:rPr>
                <w:lang w:val="en-CA"/>
              </w:rPr>
              <w:t>Avoid injection in scar tissue or areas that are reddened, inflamed or swollen areas</w:t>
            </w:r>
            <w:r>
              <w:rPr>
                <w:lang w:val="en-CA"/>
              </w:rPr>
              <w:t>.</w:t>
            </w:r>
          </w:p>
        </w:tc>
      </w:tr>
      <w:tr w:rsidR="00223CD7" w14:paraId="1F7FA994" w14:textId="77777777" w:rsidTr="00B703ED">
        <w:tc>
          <w:tcPr>
            <w:tcW w:w="2515" w:type="dxa"/>
            <w:shd w:val="clear" w:color="auto" w:fill="0075BF" w:themeFill="text2"/>
          </w:tcPr>
          <w:p w14:paraId="4DBB2385" w14:textId="77777777" w:rsidR="00223CD7" w:rsidRPr="00742944" w:rsidRDefault="00223CD7" w:rsidP="00B703ED">
            <w:pPr>
              <w:pStyle w:val="NoSpacing"/>
              <w:rPr>
                <w:b/>
                <w:color w:val="FFFFFF" w:themeColor="background1"/>
                <w:lang w:val="en-CA"/>
              </w:rPr>
            </w:pPr>
            <w:r w:rsidRPr="00742944">
              <w:rPr>
                <w:b/>
                <w:color w:val="FFFFFF" w:themeColor="background1"/>
                <w:lang w:val="en-CA"/>
              </w:rPr>
              <w:t>Intravenous Direct (IV)</w:t>
            </w:r>
          </w:p>
        </w:tc>
        <w:tc>
          <w:tcPr>
            <w:tcW w:w="6835" w:type="dxa"/>
          </w:tcPr>
          <w:p w14:paraId="1F4E7232" w14:textId="01B59429" w:rsidR="00223CD7" w:rsidRDefault="00B72B4C" w:rsidP="00B703ED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NO</w:t>
            </w:r>
          </w:p>
        </w:tc>
      </w:tr>
      <w:tr w:rsidR="00223CD7" w14:paraId="02E1AB99" w14:textId="77777777" w:rsidTr="00B703ED">
        <w:tc>
          <w:tcPr>
            <w:tcW w:w="2515" w:type="dxa"/>
            <w:shd w:val="clear" w:color="auto" w:fill="0075BF" w:themeFill="text2"/>
          </w:tcPr>
          <w:p w14:paraId="7F995C31" w14:textId="77777777" w:rsidR="00223CD7" w:rsidRPr="00742944" w:rsidRDefault="00223CD7" w:rsidP="00B703ED">
            <w:pPr>
              <w:pStyle w:val="NoSpacing"/>
              <w:rPr>
                <w:b/>
                <w:color w:val="FFFFFF" w:themeColor="background1"/>
                <w:lang w:val="en-CA"/>
              </w:rPr>
            </w:pPr>
            <w:r w:rsidRPr="00742944">
              <w:rPr>
                <w:b/>
                <w:color w:val="FFFFFF" w:themeColor="background1"/>
                <w:lang w:val="en-CA"/>
              </w:rPr>
              <w:t>IV Intermittent Infusion</w:t>
            </w:r>
          </w:p>
        </w:tc>
        <w:tc>
          <w:tcPr>
            <w:tcW w:w="6835" w:type="dxa"/>
          </w:tcPr>
          <w:p w14:paraId="3972C44E" w14:textId="2DC795CF" w:rsidR="00223CD7" w:rsidRDefault="00B72B4C" w:rsidP="00B703ED">
            <w:pPr>
              <w:pStyle w:val="NoSpacing"/>
              <w:rPr>
                <w:lang w:val="en-CA"/>
              </w:rPr>
            </w:pPr>
            <w:r w:rsidRPr="00B72B4C">
              <w:rPr>
                <w:lang w:val="en-CA"/>
              </w:rPr>
              <w:t>Not currently Health Canada approved</w:t>
            </w:r>
          </w:p>
        </w:tc>
      </w:tr>
      <w:tr w:rsidR="00223CD7" w14:paraId="6A527F32" w14:textId="77777777" w:rsidTr="00B703ED">
        <w:tc>
          <w:tcPr>
            <w:tcW w:w="2515" w:type="dxa"/>
            <w:shd w:val="clear" w:color="auto" w:fill="0075BF" w:themeFill="text2"/>
          </w:tcPr>
          <w:p w14:paraId="2680B618" w14:textId="77777777" w:rsidR="00223CD7" w:rsidRPr="00742944" w:rsidRDefault="00223CD7" w:rsidP="00B703ED">
            <w:pPr>
              <w:pStyle w:val="NoSpacing"/>
              <w:rPr>
                <w:b/>
                <w:color w:val="FFFFFF" w:themeColor="background1"/>
                <w:lang w:val="en-CA"/>
              </w:rPr>
            </w:pPr>
            <w:r w:rsidRPr="00742944">
              <w:rPr>
                <w:b/>
                <w:color w:val="FFFFFF" w:themeColor="background1"/>
                <w:lang w:val="en-CA"/>
              </w:rPr>
              <w:t>IV Continuous Infusion</w:t>
            </w:r>
          </w:p>
        </w:tc>
        <w:tc>
          <w:tcPr>
            <w:tcW w:w="6835" w:type="dxa"/>
          </w:tcPr>
          <w:p w14:paraId="32D68253" w14:textId="77777777" w:rsidR="00223CD7" w:rsidRDefault="00223CD7" w:rsidP="00B703ED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NO</w:t>
            </w:r>
          </w:p>
        </w:tc>
      </w:tr>
    </w:tbl>
    <w:p w14:paraId="409A8C4A" w14:textId="2129F840" w:rsidR="00AA4D95" w:rsidRDefault="00DB097E" w:rsidP="00F852DA">
      <w:pPr>
        <w:spacing w:before="240"/>
      </w:pPr>
      <w:r>
        <w:t xml:space="preserve">THIS MEDICATION SHOULD ONLY BE ADMINISTERED BY A NURSE WITH SPECIFIC TRAINING IN THE ADMINISTRATION OF CHEMOTHERAPY (I.E. APHON TRAINING).  </w:t>
      </w:r>
    </w:p>
    <w:p w14:paraId="0404D139" w14:textId="77777777" w:rsidR="00AA4D95" w:rsidRDefault="00AA4D95" w:rsidP="00AA4D95">
      <w:pPr>
        <w:pStyle w:val="Heading2"/>
      </w:pPr>
      <w:r>
        <w:t>Nursing Considerations</w:t>
      </w:r>
    </w:p>
    <w:p w14:paraId="47DB1F1F" w14:textId="77777777" w:rsidR="00AA4D95" w:rsidRDefault="00AA4D95" w:rsidP="00AA4D95">
      <w:pPr>
        <w:pStyle w:val="ListParagraph"/>
        <w:numPr>
          <w:ilvl w:val="0"/>
          <w:numId w:val="11"/>
        </w:numPr>
        <w:spacing w:after="0" w:line="240" w:lineRule="auto"/>
      </w:pPr>
      <w:r>
        <w:t>NON-VESICANT drug</w:t>
      </w:r>
    </w:p>
    <w:p w14:paraId="2E05DC92" w14:textId="77777777" w:rsidR="000D38CC" w:rsidRDefault="00AA4D95" w:rsidP="006F0C1E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Baseline CBC, temperature, heart rate, respiratory </w:t>
      </w:r>
      <w:proofErr w:type="gramStart"/>
      <w:r>
        <w:t>rate</w:t>
      </w:r>
      <w:proofErr w:type="gramEnd"/>
      <w:r>
        <w:t xml:space="preserve"> and blood pressure</w:t>
      </w:r>
    </w:p>
    <w:p w14:paraId="2B1955A4" w14:textId="2182B27B" w:rsidR="00F81342" w:rsidRDefault="00AA4D95" w:rsidP="006F0C1E">
      <w:pPr>
        <w:pStyle w:val="ListParagraph"/>
        <w:numPr>
          <w:ilvl w:val="0"/>
          <w:numId w:val="11"/>
        </w:numPr>
        <w:spacing w:after="0" w:line="240" w:lineRule="auto"/>
      </w:pPr>
      <w:r>
        <w:t>Not presently Health Canada approved to be given IV.  Any plans to administer IV should be discussed in advance with satellite local leadership and POGO Staff</w:t>
      </w:r>
    </w:p>
    <w:p w14:paraId="2E7B5FE8" w14:textId="77777777" w:rsidR="00F81342" w:rsidRDefault="00AA4D95" w:rsidP="006F0C1E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A hypersensitivity reaction can occur immediately. Symptoms may include hypotension, dyspnea, rash, urticaria, vomiting, </w:t>
      </w:r>
      <w:proofErr w:type="gramStart"/>
      <w:r>
        <w:t>fever</w:t>
      </w:r>
      <w:proofErr w:type="gramEnd"/>
      <w:r>
        <w:t xml:space="preserve"> and chills. Have medications to treat hypersensitivity reactions readily available at each administration, including epinephrine, antihistamines, </w:t>
      </w:r>
      <w:proofErr w:type="gramStart"/>
      <w:r>
        <w:t>oxygen</w:t>
      </w:r>
      <w:proofErr w:type="gramEnd"/>
      <w:r>
        <w:t xml:space="preserve"> and steroids.</w:t>
      </w:r>
    </w:p>
    <w:p w14:paraId="7001F95D" w14:textId="77777777" w:rsidR="00F81342" w:rsidRDefault="00AA4D95" w:rsidP="00A871AE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In general, transfusion should be avoided on days </w:t>
      </w:r>
      <w:r w:rsidRPr="00F03561">
        <w:t xml:space="preserve">Crisantaspase </w:t>
      </w:r>
      <w:r>
        <w:t>is administered. If circumstances don’t allow for delay in transfusion (i.e. platelets needed to facilitate IM injection) please contact the referring team to discuss options.</w:t>
      </w:r>
    </w:p>
    <w:p w14:paraId="465ECAA0" w14:textId="3225CBF8" w:rsidR="00F81342" w:rsidRDefault="00AA4D95" w:rsidP="007D5688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Platelet count must be &gt;20,000 for IM administration. </w:t>
      </w:r>
    </w:p>
    <w:p w14:paraId="53697079" w14:textId="77777777" w:rsidR="00F81342" w:rsidRDefault="00AA4D95" w:rsidP="001776D3">
      <w:pPr>
        <w:pStyle w:val="ListParagraph"/>
        <w:numPr>
          <w:ilvl w:val="0"/>
          <w:numId w:val="11"/>
        </w:numPr>
        <w:spacing w:after="0" w:line="240" w:lineRule="auto"/>
      </w:pPr>
      <w:proofErr w:type="gramStart"/>
      <w:r>
        <w:t>Patient</w:t>
      </w:r>
      <w:proofErr w:type="gramEnd"/>
      <w:r>
        <w:t xml:space="preserve"> should remain in the clinic for a minimum of one hour following IM/IV administration.</w:t>
      </w:r>
    </w:p>
    <w:p w14:paraId="6D3B0F88" w14:textId="2B6C81DE" w:rsidR="00AA4D95" w:rsidRDefault="00AA4D95" w:rsidP="00F81342">
      <w:pPr>
        <w:pStyle w:val="ListParagraph"/>
        <w:numPr>
          <w:ilvl w:val="0"/>
          <w:numId w:val="11"/>
        </w:numPr>
        <w:ind w:left="714" w:hanging="357"/>
      </w:pPr>
      <w:r>
        <w:t>Repeat vital</w:t>
      </w:r>
      <w:r w:rsidR="00F81342">
        <w:t xml:space="preserve"> sign</w:t>
      </w:r>
      <w:r>
        <w:t>s. Provide family education prior to discharge regarding delayed reaction, side effects and where to report issues.</w:t>
      </w:r>
    </w:p>
    <w:p w14:paraId="0DCFBA16" w14:textId="77777777" w:rsidR="00AA4D95" w:rsidRDefault="00AA4D95" w:rsidP="006643DA">
      <w:pPr>
        <w:pStyle w:val="Heading2"/>
      </w:pPr>
      <w:r>
        <w:t>Potential Hazards of Parenteral Administration</w:t>
      </w:r>
    </w:p>
    <w:p w14:paraId="7522A432" w14:textId="77777777" w:rsidR="00AA4D95" w:rsidRPr="00460D3C" w:rsidRDefault="00AA4D95" w:rsidP="00460D3C">
      <w:pPr>
        <w:spacing w:after="40"/>
        <w:rPr>
          <w:b/>
          <w:bCs/>
          <w:sz w:val="24"/>
          <w:szCs w:val="24"/>
        </w:rPr>
      </w:pPr>
      <w:r w:rsidRPr="00460D3C">
        <w:rPr>
          <w:b/>
          <w:bCs/>
          <w:sz w:val="24"/>
          <w:szCs w:val="24"/>
        </w:rPr>
        <w:t>Immediate (within a few minutes to hours):</w:t>
      </w:r>
    </w:p>
    <w:p w14:paraId="4D0219EF" w14:textId="77777777" w:rsidR="00AA4D95" w:rsidRDefault="00AA4D95" w:rsidP="00AA4D95">
      <w:pPr>
        <w:pStyle w:val="ListParagraph"/>
        <w:numPr>
          <w:ilvl w:val="0"/>
          <w:numId w:val="12"/>
        </w:numPr>
        <w:spacing w:after="0" w:line="240" w:lineRule="auto"/>
      </w:pPr>
      <w:r>
        <w:t>Anaphylaxis, other allergic reactions (urticaria, pruritus, respiratory distress, hypotension, chills, fever)</w:t>
      </w:r>
    </w:p>
    <w:p w14:paraId="64A9C4C2" w14:textId="77777777" w:rsidR="00AA4D95" w:rsidRDefault="00AA4D95" w:rsidP="00AA4D95">
      <w:pPr>
        <w:pStyle w:val="ListParagraph"/>
        <w:numPr>
          <w:ilvl w:val="0"/>
          <w:numId w:val="12"/>
        </w:numPr>
        <w:spacing w:after="0" w:line="240" w:lineRule="auto"/>
      </w:pPr>
      <w:r>
        <w:lastRenderedPageBreak/>
        <w:t>Nausea and vomiting</w:t>
      </w:r>
    </w:p>
    <w:p w14:paraId="4E26ABEA" w14:textId="6E1855C3" w:rsidR="00AA4D95" w:rsidRDefault="00AA4D95" w:rsidP="00AA4D95">
      <w:pPr>
        <w:pStyle w:val="ListParagraph"/>
        <w:numPr>
          <w:ilvl w:val="0"/>
          <w:numId w:val="12"/>
        </w:numPr>
        <w:spacing w:after="0" w:line="240" w:lineRule="auto"/>
      </w:pPr>
      <w:r>
        <w:t>Pain/bruising at injection site – hold site at least 5 minutes after injection or until bleeding stops.</w:t>
      </w:r>
    </w:p>
    <w:p w14:paraId="3C9E17B6" w14:textId="77777777" w:rsidR="00AA4D95" w:rsidRPr="001522B6" w:rsidRDefault="00AA4D95" w:rsidP="001522B6">
      <w:pPr>
        <w:spacing w:before="240" w:after="40"/>
        <w:rPr>
          <w:b/>
          <w:bCs/>
          <w:sz w:val="24"/>
          <w:szCs w:val="24"/>
        </w:rPr>
      </w:pPr>
      <w:r w:rsidRPr="001522B6">
        <w:rPr>
          <w:b/>
          <w:bCs/>
          <w:sz w:val="24"/>
          <w:szCs w:val="24"/>
        </w:rPr>
        <w:t>Delayed (within a few days to weeks)</w:t>
      </w:r>
    </w:p>
    <w:p w14:paraId="18006395" w14:textId="77777777" w:rsidR="00AA4D95" w:rsidRDefault="00AA4D95" w:rsidP="00AA4D95">
      <w:pPr>
        <w:pStyle w:val="ListParagraph"/>
        <w:numPr>
          <w:ilvl w:val="0"/>
          <w:numId w:val="13"/>
        </w:numPr>
        <w:spacing w:after="0" w:line="240" w:lineRule="auto"/>
      </w:pPr>
      <w:r>
        <w:t>Hepatotoxicity – hypoalbuminemia, increased transaminases, decreased fibrinogen, clotting factors, antithrombin (risk of hemorrhage or thrombosis possible)</w:t>
      </w:r>
    </w:p>
    <w:p w14:paraId="61F90306" w14:textId="77777777" w:rsidR="00AA4D95" w:rsidRDefault="00AA4D95" w:rsidP="00AA4D95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Hyperglycemia – monitor urine/blood glucose. May require insulin. </w:t>
      </w:r>
    </w:p>
    <w:p w14:paraId="28F5EA5A" w14:textId="77777777" w:rsidR="00AA4D95" w:rsidRDefault="00AA4D95" w:rsidP="00AA4D95">
      <w:pPr>
        <w:pStyle w:val="ListParagraph"/>
        <w:numPr>
          <w:ilvl w:val="0"/>
          <w:numId w:val="13"/>
        </w:numPr>
        <w:spacing w:after="0" w:line="240" w:lineRule="auto"/>
      </w:pPr>
      <w:r>
        <w:t>Pancreatitis – elevated serum amylase, assess for abdominal tenderness</w:t>
      </w:r>
    </w:p>
    <w:p w14:paraId="38A289AD" w14:textId="42F630C7" w:rsidR="0062163A" w:rsidRDefault="00AA4D95" w:rsidP="00755BB3">
      <w:pPr>
        <w:pStyle w:val="ListParagraph"/>
        <w:numPr>
          <w:ilvl w:val="0"/>
          <w:numId w:val="13"/>
        </w:numPr>
        <w:spacing w:after="0" w:line="240" w:lineRule="auto"/>
      </w:pPr>
      <w:r>
        <w:t>Thrombosis and bleeding (CNS and non-CNS)</w:t>
      </w:r>
    </w:p>
    <w:p w14:paraId="24135FF8" w14:textId="633EDC91" w:rsidR="00AA4D95" w:rsidRPr="00755BB3" w:rsidRDefault="00AA4D95" w:rsidP="00755BB3">
      <w:pPr>
        <w:spacing w:before="240"/>
        <w:rPr>
          <w:rStyle w:val="Strong"/>
        </w:rPr>
      </w:pPr>
      <w:r w:rsidRPr="00F03561">
        <w:rPr>
          <w:b/>
          <w:bCs/>
        </w:rPr>
        <w:t xml:space="preserve">Specialized childhood cancer </w:t>
      </w:r>
      <w:proofErr w:type="gramStart"/>
      <w:r w:rsidRPr="00F03561">
        <w:rPr>
          <w:b/>
          <w:bCs/>
        </w:rPr>
        <w:t>program</w:t>
      </w:r>
      <w:proofErr w:type="gramEnd"/>
      <w:r w:rsidRPr="00F03561">
        <w:rPr>
          <w:b/>
          <w:bCs/>
        </w:rPr>
        <w:t xml:space="preserve"> should be notified of adverse effects of medication.</w:t>
      </w:r>
    </w:p>
    <w:p w14:paraId="3ED5C891" w14:textId="289981C0" w:rsidR="00526D24" w:rsidRPr="00526D24" w:rsidRDefault="00526D24" w:rsidP="00526D24">
      <w:pPr>
        <w:rPr>
          <w:lang w:val="en-CA"/>
        </w:rPr>
      </w:pPr>
      <w:r w:rsidRPr="001D4939">
        <w:rPr>
          <w:rStyle w:val="Strong"/>
          <w:lang w:val="en-CA"/>
        </w:rPr>
        <w:t>Disclaimer:</w:t>
      </w:r>
      <w:r w:rsidRPr="00526D24">
        <w:rPr>
          <w:lang w:val="en-CA"/>
        </w:rPr>
        <w:t xml:space="preserve"> This document is meant for guidance. Nothing in this document replaces clinical judgement or dictates treatment of individual patients. The information found here wi</w:t>
      </w:r>
      <w:r w:rsidR="001D4939">
        <w:rPr>
          <w:lang w:val="en-CA"/>
        </w:rPr>
        <w:t>ll be reviewed every two years.</w:t>
      </w:r>
    </w:p>
    <w:p w14:paraId="2A7C45F5" w14:textId="45594812" w:rsidR="00526D24" w:rsidRPr="00526D24" w:rsidRDefault="00526D24" w:rsidP="00526D24">
      <w:pPr>
        <w:rPr>
          <w:lang w:val="en-CA"/>
        </w:rPr>
      </w:pPr>
      <w:r w:rsidRPr="00526D24">
        <w:rPr>
          <w:lang w:val="en-CA"/>
        </w:rPr>
        <w:t xml:space="preserve">This guidance document was developed by </w:t>
      </w:r>
      <w:r w:rsidR="001640F2">
        <w:rPr>
          <w:lang w:val="en-CA"/>
        </w:rPr>
        <w:t>Dr. Paul Gibson</w:t>
      </w:r>
      <w:r w:rsidR="00EB26DD">
        <w:rPr>
          <w:lang w:val="en-CA"/>
        </w:rPr>
        <w:t>, McMaster Childrens Hospital, Pediatric Oncology Group of Ontario, in consultation with Virginia Cyr, CHEO</w:t>
      </w:r>
      <w:r w:rsidRPr="00526D24">
        <w:rPr>
          <w:lang w:val="en-CA"/>
        </w:rPr>
        <w:t xml:space="preserve"> Kaniska Young Tai, The Hospital for Sick Children</w:t>
      </w:r>
      <w:r w:rsidR="000C2390">
        <w:rPr>
          <w:lang w:val="en-CA"/>
        </w:rPr>
        <w:t xml:space="preserve"> and</w:t>
      </w:r>
      <w:r w:rsidR="00922CE1">
        <w:rPr>
          <w:lang w:val="en-CA"/>
        </w:rPr>
        <w:t xml:space="preserve"> </w:t>
      </w:r>
      <w:r w:rsidR="00EB26DD">
        <w:rPr>
          <w:lang w:val="en-CA"/>
        </w:rPr>
        <w:t>Valerie Wade</w:t>
      </w:r>
      <w:r w:rsidRPr="00526D24">
        <w:rPr>
          <w:lang w:val="en-CA"/>
        </w:rPr>
        <w:t xml:space="preserve">, </w:t>
      </w:r>
      <w:r w:rsidR="001D4939">
        <w:rPr>
          <w:lang w:val="en-CA"/>
        </w:rPr>
        <w:t xml:space="preserve">Children’s Hospital, </w:t>
      </w:r>
      <w:r w:rsidRPr="00526D24">
        <w:rPr>
          <w:lang w:val="en-CA"/>
        </w:rPr>
        <w:t>London Health Sciences Centre</w:t>
      </w:r>
      <w:r w:rsidR="00EB26DD">
        <w:rPr>
          <w:lang w:val="en-CA"/>
        </w:rPr>
        <w:t xml:space="preserve">. </w:t>
      </w:r>
    </w:p>
    <w:p w14:paraId="697D7EB0" w14:textId="77777777" w:rsidR="003C5ADD" w:rsidRPr="003C5ADD" w:rsidRDefault="003C5ADD" w:rsidP="003C5ADD">
      <w:pPr>
        <w:keepNext/>
        <w:keepLines/>
        <w:spacing w:after="40" w:line="240" w:lineRule="auto"/>
        <w:outlineLvl w:val="2"/>
        <w:rPr>
          <w:rFonts w:ascii="Calibri" w:eastAsiaTheme="majorEastAsia" w:hAnsi="Calibri" w:cstheme="majorBidi"/>
          <w:b/>
          <w:sz w:val="24"/>
          <w:szCs w:val="24"/>
          <w:lang w:val="en-CA"/>
        </w:rPr>
      </w:pPr>
      <w:r w:rsidRPr="003C5ADD">
        <w:rPr>
          <w:rFonts w:ascii="Calibri" w:eastAsiaTheme="majorEastAsia" w:hAnsi="Calibri" w:cstheme="majorBidi"/>
          <w:b/>
          <w:sz w:val="24"/>
          <w:szCs w:val="24"/>
          <w:lang w:val="en-CA"/>
        </w:rPr>
        <w:t>Disclaimer: Source Accuracy</w:t>
      </w:r>
    </w:p>
    <w:p w14:paraId="0E72241F" w14:textId="77777777" w:rsidR="003C5ADD" w:rsidRPr="003C5ADD" w:rsidRDefault="003C5ADD" w:rsidP="003C5ADD">
      <w:pPr>
        <w:rPr>
          <w:lang w:val="en-CA"/>
        </w:rPr>
      </w:pPr>
      <w:r w:rsidRPr="003C5ADD">
        <w:rPr>
          <w:lang w:val="en-CA"/>
        </w:rPr>
        <w:t xml:space="preserve">You are welcome to download and save a local copy of this document in the Word and/or PDF formats provided. As the POGO Satellite Manual is subject to ongoing revisions and updates by POGO, we recommend you regularly check the online version posted at </w:t>
      </w:r>
      <w:hyperlink r:id="rId11" w:history="1">
        <w:r w:rsidRPr="003C5ADD">
          <w:rPr>
            <w:rFonts w:ascii="Calibri" w:hAnsi="Calibri"/>
            <w:color w:val="00B0E5" w:themeColor="accent1"/>
            <w:u w:val="single"/>
            <w:lang w:val="en-CA"/>
          </w:rPr>
          <w:t>https://www.pogo.ca/satellite-manual/</w:t>
        </w:r>
      </w:hyperlink>
      <w:r w:rsidRPr="003C5ADD">
        <w:rPr>
          <w:lang w:val="en-CA"/>
        </w:rPr>
        <w:t xml:space="preserve"> to ensure you have the most up-to-date content. In the event of any inconsistency between the content of a local copy and the online version of the POGO Satellite Manual, the content of the online version shall be considered correct. Please see also the </w:t>
      </w:r>
      <w:hyperlink r:id="rId12" w:history="1">
        <w:r w:rsidRPr="003C5ADD">
          <w:rPr>
            <w:rFonts w:ascii="Calibri" w:hAnsi="Calibri"/>
            <w:color w:val="00B0E5" w:themeColor="accent1"/>
            <w:u w:val="single"/>
            <w:lang w:val="en-CA"/>
          </w:rPr>
          <w:t>POGO Satellite Manual Disclaimer</w:t>
        </w:r>
      </w:hyperlink>
      <w:r w:rsidRPr="003C5ADD">
        <w:rPr>
          <w:lang w:val="en-CA"/>
        </w:rPr>
        <w:t>.</w:t>
      </w:r>
    </w:p>
    <w:p w14:paraId="4BE0683E" w14:textId="77777777" w:rsidR="003C5ADD" w:rsidRPr="003C5ADD" w:rsidRDefault="003C5ADD" w:rsidP="003C5ADD">
      <w:pPr>
        <w:keepNext/>
        <w:keepLines/>
        <w:spacing w:after="40" w:line="240" w:lineRule="auto"/>
        <w:outlineLvl w:val="2"/>
        <w:rPr>
          <w:rFonts w:ascii="Calibri" w:eastAsiaTheme="majorEastAsia" w:hAnsi="Calibri" w:cstheme="majorBidi"/>
          <w:b/>
          <w:sz w:val="24"/>
          <w:szCs w:val="24"/>
          <w:lang w:val="en-CA"/>
        </w:rPr>
      </w:pPr>
      <w:r w:rsidRPr="003C5ADD">
        <w:rPr>
          <w:rFonts w:ascii="Calibri" w:eastAsiaTheme="majorEastAsia" w:hAnsi="Calibri" w:cstheme="majorBidi"/>
          <w:b/>
          <w:sz w:val="24"/>
          <w:szCs w:val="24"/>
          <w:lang w:val="en-CA"/>
        </w:rPr>
        <w:t>Record of Updates</w:t>
      </w:r>
    </w:p>
    <w:tbl>
      <w:tblPr>
        <w:tblStyle w:val="TableGrid"/>
        <w:tblW w:w="0" w:type="auto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885"/>
        <w:gridCol w:w="1800"/>
        <w:gridCol w:w="5665"/>
      </w:tblGrid>
      <w:tr w:rsidR="003C5ADD" w:rsidRPr="003C5ADD" w14:paraId="7EBD85BA" w14:textId="77777777" w:rsidTr="0030106C">
        <w:tc>
          <w:tcPr>
            <w:tcW w:w="1885" w:type="dxa"/>
            <w:shd w:val="clear" w:color="auto" w:fill="0075BF" w:themeFill="text2"/>
          </w:tcPr>
          <w:p w14:paraId="7B0BE817" w14:textId="77777777" w:rsidR="003C5ADD" w:rsidRPr="003C5ADD" w:rsidRDefault="003C5ADD" w:rsidP="003C5ADD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3C5ADD">
              <w:rPr>
                <w:b/>
                <w:color w:val="FFFFFF" w:themeColor="background1"/>
              </w:rPr>
              <w:t>Version Number</w:t>
            </w:r>
          </w:p>
        </w:tc>
        <w:tc>
          <w:tcPr>
            <w:tcW w:w="1800" w:type="dxa"/>
            <w:shd w:val="clear" w:color="auto" w:fill="0075BF" w:themeFill="text2"/>
          </w:tcPr>
          <w:p w14:paraId="12D3A4D5" w14:textId="77777777" w:rsidR="003C5ADD" w:rsidRPr="003C5ADD" w:rsidRDefault="003C5ADD" w:rsidP="003C5ADD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3C5ADD">
              <w:rPr>
                <w:b/>
                <w:color w:val="FFFFFF" w:themeColor="background1"/>
              </w:rPr>
              <w:t>Date of Effect</w:t>
            </w:r>
          </w:p>
        </w:tc>
        <w:tc>
          <w:tcPr>
            <w:tcW w:w="5665" w:type="dxa"/>
            <w:shd w:val="clear" w:color="auto" w:fill="0075BF" w:themeFill="text2"/>
          </w:tcPr>
          <w:p w14:paraId="5C673733" w14:textId="77777777" w:rsidR="003C5ADD" w:rsidRPr="003C5ADD" w:rsidRDefault="003C5ADD" w:rsidP="003C5ADD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3C5ADD">
              <w:rPr>
                <w:b/>
                <w:color w:val="FFFFFF" w:themeColor="background1"/>
              </w:rPr>
              <w:t>Summary of Revisions</w:t>
            </w:r>
          </w:p>
        </w:tc>
      </w:tr>
      <w:tr w:rsidR="003C5ADD" w:rsidRPr="003C5ADD" w14:paraId="338A7037" w14:textId="77777777" w:rsidTr="0030106C">
        <w:tc>
          <w:tcPr>
            <w:tcW w:w="1885" w:type="dxa"/>
          </w:tcPr>
          <w:p w14:paraId="47C0277B" w14:textId="77777777" w:rsidR="003C5ADD" w:rsidRPr="003C5ADD" w:rsidRDefault="003C5ADD" w:rsidP="003C5ADD">
            <w:pPr>
              <w:spacing w:after="0"/>
              <w:jc w:val="center"/>
              <w:rPr>
                <w:lang w:val="en-CA"/>
              </w:rPr>
            </w:pPr>
            <w:r w:rsidRPr="003C5ADD">
              <w:rPr>
                <w:lang w:val="en-CA"/>
              </w:rPr>
              <w:t>1</w:t>
            </w:r>
          </w:p>
        </w:tc>
        <w:tc>
          <w:tcPr>
            <w:tcW w:w="1800" w:type="dxa"/>
          </w:tcPr>
          <w:p w14:paraId="31B77DB7" w14:textId="1F6B8E4B" w:rsidR="003C5ADD" w:rsidRPr="003C5ADD" w:rsidRDefault="0008442C" w:rsidP="003C5ADD">
            <w:pPr>
              <w:spacing w:after="0"/>
              <w:jc w:val="center"/>
              <w:rPr>
                <w:lang w:val="en-CA"/>
              </w:rPr>
            </w:pPr>
            <w:r>
              <w:rPr>
                <w:lang w:val="en-CA"/>
              </w:rPr>
              <w:t>3</w:t>
            </w:r>
            <w:r w:rsidR="003C5ADD" w:rsidRPr="00922CE1">
              <w:rPr>
                <w:lang w:val="en-CA"/>
              </w:rPr>
              <w:t>/</w:t>
            </w:r>
            <w:r>
              <w:rPr>
                <w:lang w:val="en-CA"/>
              </w:rPr>
              <w:t>7</w:t>
            </w:r>
            <w:r w:rsidR="003C5ADD" w:rsidRPr="00922CE1">
              <w:rPr>
                <w:lang w:val="en-CA"/>
              </w:rPr>
              <w:t>/202</w:t>
            </w:r>
            <w:r w:rsidR="000B4430" w:rsidRPr="00922CE1">
              <w:rPr>
                <w:lang w:val="en-CA"/>
              </w:rPr>
              <w:t>4</w:t>
            </w:r>
          </w:p>
        </w:tc>
        <w:tc>
          <w:tcPr>
            <w:tcW w:w="5665" w:type="dxa"/>
          </w:tcPr>
          <w:p w14:paraId="675E9BC3" w14:textId="77777777" w:rsidR="003C5ADD" w:rsidRPr="003C5ADD" w:rsidRDefault="003C5ADD" w:rsidP="003C5ADD">
            <w:pPr>
              <w:numPr>
                <w:ilvl w:val="0"/>
                <w:numId w:val="4"/>
              </w:numPr>
              <w:spacing w:after="0" w:line="259" w:lineRule="auto"/>
              <w:rPr>
                <w:lang w:val="en-CA"/>
              </w:rPr>
            </w:pPr>
            <w:r w:rsidRPr="003C5ADD">
              <w:rPr>
                <w:lang w:val="en-CA"/>
              </w:rPr>
              <w:t>Original version posted.</w:t>
            </w:r>
          </w:p>
        </w:tc>
      </w:tr>
    </w:tbl>
    <w:p w14:paraId="60FFC8CB" w14:textId="77777777" w:rsidR="003C5ADD" w:rsidRPr="003C5ADD" w:rsidRDefault="003C5ADD" w:rsidP="003C5ADD">
      <w:pPr>
        <w:rPr>
          <w:lang w:val="en-CA"/>
        </w:rPr>
      </w:pPr>
    </w:p>
    <w:p w14:paraId="4FC6F347" w14:textId="77777777" w:rsidR="003C5ADD" w:rsidRPr="003C5ADD" w:rsidRDefault="003C5ADD" w:rsidP="003C5ADD">
      <w:pPr>
        <w:rPr>
          <w:lang w:val="en-CA"/>
        </w:rPr>
      </w:pPr>
    </w:p>
    <w:sectPr w:rsidR="003C5ADD" w:rsidRPr="003C5ADD" w:rsidSect="00B075CC">
      <w:headerReference w:type="default" r:id="rId13"/>
      <w:footerReference w:type="default" r:id="rId14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B5C26" w14:textId="77777777" w:rsidR="00B075CC" w:rsidRDefault="00B075CC" w:rsidP="009C56FA">
      <w:pPr>
        <w:spacing w:after="0" w:line="240" w:lineRule="auto"/>
      </w:pPr>
      <w:r>
        <w:separator/>
      </w:r>
    </w:p>
  </w:endnote>
  <w:endnote w:type="continuationSeparator" w:id="0">
    <w:p w14:paraId="1DEEA71E" w14:textId="77777777" w:rsidR="00B075CC" w:rsidRDefault="00B075CC" w:rsidP="009C56FA">
      <w:pPr>
        <w:spacing w:after="0" w:line="240" w:lineRule="auto"/>
      </w:pPr>
      <w:r>
        <w:continuationSeparator/>
      </w:r>
    </w:p>
  </w:endnote>
  <w:endnote w:type="continuationNotice" w:id="1">
    <w:p w14:paraId="514A268F" w14:textId="77777777" w:rsidR="00747975" w:rsidRDefault="007479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39034" w14:textId="372E76FB" w:rsidR="009C56FA" w:rsidRDefault="00406206">
    <w:pPr>
      <w:pStyle w:val="Footer"/>
    </w:pPr>
    <w:r w:rsidRPr="00386B0A">
      <w:rPr>
        <w:b/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335D2428" wp14:editId="7CFBC8F3">
          <wp:simplePos x="0" y="0"/>
          <wp:positionH relativeFrom="column">
            <wp:posOffset>5724525</wp:posOffset>
          </wp:positionH>
          <wp:positionV relativeFrom="paragraph">
            <wp:posOffset>-377825</wp:posOffset>
          </wp:positionV>
          <wp:extent cx="355600" cy="91440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geNumberTab_compl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6B0A">
      <w:rPr>
        <w:b/>
      </w:rPr>
      <w:fldChar w:fldCharType="begin"/>
    </w:r>
    <w:r w:rsidRPr="00386B0A">
      <w:rPr>
        <w:b/>
      </w:rPr>
      <w:instrText xml:space="preserve"> FILENAME   \* MERGEFORMAT </w:instrText>
    </w:r>
    <w:r w:rsidRPr="00386B0A">
      <w:rPr>
        <w:b/>
      </w:rPr>
      <w:fldChar w:fldCharType="separate"/>
    </w:r>
    <w:r w:rsidR="007D0639">
      <w:rPr>
        <w:b/>
        <w:noProof/>
      </w:rPr>
      <w:t>3.7.5 Crisantaspase (Rylaze) Asparaginase Module</w:t>
    </w:r>
    <w:r w:rsidRPr="00386B0A">
      <w:rPr>
        <w:b/>
      </w:rPr>
      <w:fldChar w:fldCharType="end"/>
    </w:r>
    <w:r w:rsidR="00774EEC" w:rsidRPr="00386B0A">
      <w:ptab w:relativeTo="margin" w:alignment="right" w:leader="none"/>
    </w:r>
    <w:r w:rsidR="00774EEC" w:rsidRPr="00386B0A">
      <w:rPr>
        <w:b/>
        <w:color w:val="FFFFFF" w:themeColor="background1"/>
      </w:rPr>
      <w:fldChar w:fldCharType="begin"/>
    </w:r>
    <w:r w:rsidR="00774EEC" w:rsidRPr="00386B0A">
      <w:rPr>
        <w:b/>
        <w:color w:val="FFFFFF" w:themeColor="background1"/>
      </w:rPr>
      <w:instrText xml:space="preserve"> PAGE  \* Arabic  \* MERGEFORMAT </w:instrText>
    </w:r>
    <w:r w:rsidR="00774EEC" w:rsidRPr="00386B0A">
      <w:rPr>
        <w:b/>
        <w:color w:val="FFFFFF" w:themeColor="background1"/>
      </w:rPr>
      <w:fldChar w:fldCharType="separate"/>
    </w:r>
    <w:r w:rsidR="00EF3E9A" w:rsidRPr="00386B0A">
      <w:rPr>
        <w:b/>
        <w:noProof/>
        <w:color w:val="FFFFFF" w:themeColor="background1"/>
      </w:rPr>
      <w:t>4</w:t>
    </w:r>
    <w:r w:rsidR="00774EEC" w:rsidRPr="00386B0A">
      <w:rPr>
        <w:b/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42481" w14:textId="77777777" w:rsidR="00B075CC" w:rsidRDefault="00B075CC" w:rsidP="009C56FA">
      <w:pPr>
        <w:spacing w:after="0" w:line="240" w:lineRule="auto"/>
      </w:pPr>
      <w:r>
        <w:separator/>
      </w:r>
    </w:p>
  </w:footnote>
  <w:footnote w:type="continuationSeparator" w:id="0">
    <w:p w14:paraId="710B9694" w14:textId="77777777" w:rsidR="00B075CC" w:rsidRDefault="00B075CC" w:rsidP="009C56FA">
      <w:pPr>
        <w:spacing w:after="0" w:line="240" w:lineRule="auto"/>
      </w:pPr>
      <w:r>
        <w:continuationSeparator/>
      </w:r>
    </w:p>
  </w:footnote>
  <w:footnote w:type="continuationNotice" w:id="1">
    <w:p w14:paraId="455DF65E" w14:textId="77777777" w:rsidR="00747975" w:rsidRDefault="007479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E4556" w14:textId="77777777" w:rsidR="009C56FA" w:rsidRDefault="009D1835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8241" behindDoc="1" locked="0" layoutInCell="1" allowOverlap="1" wp14:anchorId="3BCD19C2" wp14:editId="62591C98">
          <wp:simplePos x="0" y="0"/>
          <wp:positionH relativeFrom="column">
            <wp:posOffset>0</wp:posOffset>
          </wp:positionH>
          <wp:positionV relativeFrom="margin">
            <wp:posOffset>-742950</wp:posOffset>
          </wp:positionV>
          <wp:extent cx="3657600" cy="6158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GO_Logo_4Colours_Tagline_Hori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61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46371"/>
    <w:multiLevelType w:val="hybridMultilevel"/>
    <w:tmpl w:val="50BE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412E6"/>
    <w:multiLevelType w:val="hybridMultilevel"/>
    <w:tmpl w:val="470E6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03AC6"/>
    <w:multiLevelType w:val="hybridMultilevel"/>
    <w:tmpl w:val="18A24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57A8E"/>
    <w:multiLevelType w:val="hybridMultilevel"/>
    <w:tmpl w:val="C95EB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D939AC"/>
    <w:multiLevelType w:val="hybridMultilevel"/>
    <w:tmpl w:val="7090D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B29F1"/>
    <w:multiLevelType w:val="hybridMultilevel"/>
    <w:tmpl w:val="732CD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83D0B"/>
    <w:multiLevelType w:val="hybridMultilevel"/>
    <w:tmpl w:val="FF0C0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25BF1"/>
    <w:multiLevelType w:val="hybridMultilevel"/>
    <w:tmpl w:val="D12E7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260D2"/>
    <w:multiLevelType w:val="hybridMultilevel"/>
    <w:tmpl w:val="29249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D5399"/>
    <w:multiLevelType w:val="multilevel"/>
    <w:tmpl w:val="C83648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AA4B88"/>
    <w:multiLevelType w:val="hybridMultilevel"/>
    <w:tmpl w:val="B338E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B3A55"/>
    <w:multiLevelType w:val="hybridMultilevel"/>
    <w:tmpl w:val="06DED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D706B"/>
    <w:multiLevelType w:val="hybridMultilevel"/>
    <w:tmpl w:val="01EAB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E1EE4"/>
    <w:multiLevelType w:val="hybridMultilevel"/>
    <w:tmpl w:val="817AB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025052">
    <w:abstractNumId w:val="9"/>
  </w:num>
  <w:num w:numId="2" w16cid:durableId="838665109">
    <w:abstractNumId w:val="1"/>
  </w:num>
  <w:num w:numId="3" w16cid:durableId="1584871912">
    <w:abstractNumId w:val="0"/>
  </w:num>
  <w:num w:numId="4" w16cid:durableId="605502546">
    <w:abstractNumId w:val="3"/>
  </w:num>
  <w:num w:numId="5" w16cid:durableId="954167483">
    <w:abstractNumId w:val="12"/>
  </w:num>
  <w:num w:numId="6" w16cid:durableId="1302996408">
    <w:abstractNumId w:val="7"/>
  </w:num>
  <w:num w:numId="7" w16cid:durableId="1984307325">
    <w:abstractNumId w:val="2"/>
  </w:num>
  <w:num w:numId="8" w16cid:durableId="1836142758">
    <w:abstractNumId w:val="6"/>
  </w:num>
  <w:num w:numId="9" w16cid:durableId="386759396">
    <w:abstractNumId w:val="10"/>
  </w:num>
  <w:num w:numId="10" w16cid:durableId="1163814670">
    <w:abstractNumId w:val="13"/>
  </w:num>
  <w:num w:numId="11" w16cid:durableId="75251164">
    <w:abstractNumId w:val="11"/>
  </w:num>
  <w:num w:numId="12" w16cid:durableId="1100106534">
    <w:abstractNumId w:val="4"/>
  </w:num>
  <w:num w:numId="13" w16cid:durableId="162355817">
    <w:abstractNumId w:val="5"/>
  </w:num>
  <w:num w:numId="14" w16cid:durableId="21261459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AC1"/>
    <w:rsid w:val="00002C94"/>
    <w:rsid w:val="00016D2A"/>
    <w:rsid w:val="00050AC1"/>
    <w:rsid w:val="0008442C"/>
    <w:rsid w:val="00091B3B"/>
    <w:rsid w:val="000B4430"/>
    <w:rsid w:val="000B4EAC"/>
    <w:rsid w:val="000C2390"/>
    <w:rsid w:val="000D38CC"/>
    <w:rsid w:val="000D7A53"/>
    <w:rsid w:val="000E0779"/>
    <w:rsid w:val="001119CC"/>
    <w:rsid w:val="001457F2"/>
    <w:rsid w:val="001522B6"/>
    <w:rsid w:val="001640F2"/>
    <w:rsid w:val="001776D3"/>
    <w:rsid w:val="001A3FD0"/>
    <w:rsid w:val="001D4939"/>
    <w:rsid w:val="0020253F"/>
    <w:rsid w:val="00223CD7"/>
    <w:rsid w:val="002245A7"/>
    <w:rsid w:val="0022771D"/>
    <w:rsid w:val="002425D4"/>
    <w:rsid w:val="00256D5F"/>
    <w:rsid w:val="00263804"/>
    <w:rsid w:val="00264793"/>
    <w:rsid w:val="002A1883"/>
    <w:rsid w:val="002C378E"/>
    <w:rsid w:val="002E14F7"/>
    <w:rsid w:val="00312F5D"/>
    <w:rsid w:val="00386465"/>
    <w:rsid w:val="00386B0A"/>
    <w:rsid w:val="003C5ADD"/>
    <w:rsid w:val="003C7A2D"/>
    <w:rsid w:val="003D6D11"/>
    <w:rsid w:val="00406206"/>
    <w:rsid w:val="00427765"/>
    <w:rsid w:val="00460805"/>
    <w:rsid w:val="00460D3C"/>
    <w:rsid w:val="004C55E7"/>
    <w:rsid w:val="00507579"/>
    <w:rsid w:val="00526D24"/>
    <w:rsid w:val="00530BB0"/>
    <w:rsid w:val="00572D2A"/>
    <w:rsid w:val="005961E4"/>
    <w:rsid w:val="005C69E7"/>
    <w:rsid w:val="005D75A2"/>
    <w:rsid w:val="005E223D"/>
    <w:rsid w:val="005E3632"/>
    <w:rsid w:val="005E3EF8"/>
    <w:rsid w:val="00611A19"/>
    <w:rsid w:val="0061794B"/>
    <w:rsid w:val="0062163A"/>
    <w:rsid w:val="00652FC3"/>
    <w:rsid w:val="006600F4"/>
    <w:rsid w:val="006605DF"/>
    <w:rsid w:val="006643DA"/>
    <w:rsid w:val="006A539E"/>
    <w:rsid w:val="006B0785"/>
    <w:rsid w:val="006F0C1E"/>
    <w:rsid w:val="00700556"/>
    <w:rsid w:val="00700BDB"/>
    <w:rsid w:val="00710A1B"/>
    <w:rsid w:val="007145FC"/>
    <w:rsid w:val="007313F6"/>
    <w:rsid w:val="00742944"/>
    <w:rsid w:val="00747975"/>
    <w:rsid w:val="00755BB3"/>
    <w:rsid w:val="00766241"/>
    <w:rsid w:val="007711F8"/>
    <w:rsid w:val="00774EEC"/>
    <w:rsid w:val="00776ADE"/>
    <w:rsid w:val="00792FEF"/>
    <w:rsid w:val="007A4E83"/>
    <w:rsid w:val="007A6ACC"/>
    <w:rsid w:val="007C08FF"/>
    <w:rsid w:val="007D0639"/>
    <w:rsid w:val="007D5688"/>
    <w:rsid w:val="007F1781"/>
    <w:rsid w:val="008060C9"/>
    <w:rsid w:val="00837AA7"/>
    <w:rsid w:val="00844D44"/>
    <w:rsid w:val="008453AF"/>
    <w:rsid w:val="0084714F"/>
    <w:rsid w:val="008537D7"/>
    <w:rsid w:val="008776E4"/>
    <w:rsid w:val="008907E6"/>
    <w:rsid w:val="0089648F"/>
    <w:rsid w:val="008B0107"/>
    <w:rsid w:val="008E07C1"/>
    <w:rsid w:val="008F1CF2"/>
    <w:rsid w:val="00916395"/>
    <w:rsid w:val="00922CE1"/>
    <w:rsid w:val="00926B9D"/>
    <w:rsid w:val="00946E1C"/>
    <w:rsid w:val="009478E6"/>
    <w:rsid w:val="00966641"/>
    <w:rsid w:val="00984E94"/>
    <w:rsid w:val="009C2BB5"/>
    <w:rsid w:val="009C56FA"/>
    <w:rsid w:val="009D1835"/>
    <w:rsid w:val="009E3145"/>
    <w:rsid w:val="00A039BC"/>
    <w:rsid w:val="00A0553E"/>
    <w:rsid w:val="00A31972"/>
    <w:rsid w:val="00A422A8"/>
    <w:rsid w:val="00A74A10"/>
    <w:rsid w:val="00A86D05"/>
    <w:rsid w:val="00A871AE"/>
    <w:rsid w:val="00A9157D"/>
    <w:rsid w:val="00AA4D95"/>
    <w:rsid w:val="00AD2A48"/>
    <w:rsid w:val="00B06731"/>
    <w:rsid w:val="00B075CC"/>
    <w:rsid w:val="00B256B7"/>
    <w:rsid w:val="00B35D2C"/>
    <w:rsid w:val="00B71653"/>
    <w:rsid w:val="00B72B4C"/>
    <w:rsid w:val="00B73A75"/>
    <w:rsid w:val="00B923D1"/>
    <w:rsid w:val="00B944B2"/>
    <w:rsid w:val="00C02FCD"/>
    <w:rsid w:val="00C5592C"/>
    <w:rsid w:val="00C62A83"/>
    <w:rsid w:val="00C66FFC"/>
    <w:rsid w:val="00C7638B"/>
    <w:rsid w:val="00CA0341"/>
    <w:rsid w:val="00CA1F4A"/>
    <w:rsid w:val="00CA73C3"/>
    <w:rsid w:val="00CC4D2E"/>
    <w:rsid w:val="00D01D6D"/>
    <w:rsid w:val="00D4463C"/>
    <w:rsid w:val="00DA56B4"/>
    <w:rsid w:val="00DB097E"/>
    <w:rsid w:val="00E0110B"/>
    <w:rsid w:val="00E15E4F"/>
    <w:rsid w:val="00E27635"/>
    <w:rsid w:val="00E528B8"/>
    <w:rsid w:val="00E529BC"/>
    <w:rsid w:val="00E7741D"/>
    <w:rsid w:val="00E900DE"/>
    <w:rsid w:val="00EA0E33"/>
    <w:rsid w:val="00EB26DD"/>
    <w:rsid w:val="00EC1C1A"/>
    <w:rsid w:val="00ED63C2"/>
    <w:rsid w:val="00EF3E9A"/>
    <w:rsid w:val="00F1228F"/>
    <w:rsid w:val="00F37717"/>
    <w:rsid w:val="00F51B0B"/>
    <w:rsid w:val="00F81342"/>
    <w:rsid w:val="00F852DA"/>
    <w:rsid w:val="00FB61A7"/>
    <w:rsid w:val="00FC0CF7"/>
    <w:rsid w:val="00FE3346"/>
    <w:rsid w:val="00FF3D2C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FEFF6"/>
  <w15:chartTrackingRefBased/>
  <w15:docId w15:val="{119260B0-8918-46E8-9AA2-AE25192E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6B4"/>
    <w:pPr>
      <w:spacing w:after="240"/>
    </w:pPr>
    <w:rPr>
      <w:rFonts w:cstheme="minorHAnsi"/>
      <w:color w:val="414042" w:themeColor="accent6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6B4"/>
    <w:pPr>
      <w:keepNext/>
      <w:keepLines/>
      <w:spacing w:line="240" w:lineRule="auto"/>
      <w:outlineLvl w:val="0"/>
    </w:pPr>
    <w:rPr>
      <w:rFonts w:ascii="Corbel" w:eastAsiaTheme="majorEastAsia" w:hAnsi="Corbel" w:cstheme="majorBidi"/>
      <w:b/>
      <w:color w:val="0075BF" w:themeColor="tex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56B4"/>
    <w:pPr>
      <w:keepNext/>
      <w:keepLines/>
      <w:spacing w:after="120" w:line="240" w:lineRule="auto"/>
      <w:outlineLvl w:val="1"/>
    </w:pPr>
    <w:rPr>
      <w:rFonts w:ascii="Calibri" w:eastAsiaTheme="majorEastAsia" w:hAnsi="Calibri" w:cstheme="majorBidi"/>
      <w:b/>
      <w:color w:val="7DC242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56B4"/>
    <w:pPr>
      <w:keepNext/>
      <w:keepLines/>
      <w:spacing w:after="40" w:line="240" w:lineRule="auto"/>
      <w:outlineLvl w:val="2"/>
    </w:pPr>
    <w:rPr>
      <w:rFonts w:ascii="Calibri" w:eastAsiaTheme="majorEastAsia" w:hAnsi="Calibri" w:cstheme="majorBidi"/>
      <w:b/>
      <w:sz w:val="24"/>
      <w:szCs w:val="24"/>
    </w:r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DA56B4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5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56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6B4"/>
    <w:rPr>
      <w:rFonts w:cstheme="minorHAnsi"/>
      <w:color w:val="414042" w:themeColor="accent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6B4"/>
    <w:rPr>
      <w:rFonts w:cstheme="minorHAnsi"/>
      <w:b/>
      <w:bCs/>
      <w:color w:val="414042" w:themeColor="accent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6B4"/>
    <w:rPr>
      <w:rFonts w:ascii="Segoe UI" w:hAnsi="Segoe UI" w:cs="Segoe UI"/>
      <w:color w:val="414042" w:themeColor="accent6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56B4"/>
    <w:rPr>
      <w:rFonts w:ascii="Calibri" w:hAnsi="Calibri"/>
      <w:color w:val="00B0E5" w:themeColor="accent1"/>
      <w:sz w:val="2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56B4"/>
    <w:rPr>
      <w:color w:val="A1007D" w:themeColor="followedHyperlink"/>
      <w:u w:val="single"/>
    </w:rPr>
  </w:style>
  <w:style w:type="paragraph" w:customStyle="1" w:styleId="xxmsonormal">
    <w:name w:val="x_xmsonormal"/>
    <w:basedOn w:val="Normal"/>
    <w:rsid w:val="00DA56B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56B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56B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A56B4"/>
    <w:rPr>
      <w:rFonts w:ascii="Corbel" w:eastAsiaTheme="majorEastAsia" w:hAnsi="Corbel" w:cstheme="majorBidi"/>
      <w:b/>
      <w:color w:val="0075BF" w:themeColor="text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56B4"/>
    <w:rPr>
      <w:rFonts w:ascii="Calibri" w:eastAsiaTheme="majorEastAsia" w:hAnsi="Calibri" w:cstheme="majorBidi"/>
      <w:b/>
      <w:color w:val="7DC242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56B4"/>
    <w:rPr>
      <w:rFonts w:ascii="Calibri" w:eastAsiaTheme="majorEastAsia" w:hAnsi="Calibri" w:cstheme="majorBidi"/>
      <w:b/>
      <w:color w:val="414042" w:themeColor="accent6"/>
      <w:sz w:val="24"/>
      <w:szCs w:val="24"/>
    </w:rPr>
  </w:style>
  <w:style w:type="table" w:styleId="TableGrid">
    <w:name w:val="Table Grid"/>
    <w:basedOn w:val="TableNormal"/>
    <w:uiPriority w:val="39"/>
    <w:rsid w:val="00DA56B4"/>
    <w:pPr>
      <w:spacing w:after="0" w:line="240" w:lineRule="auto"/>
    </w:pPr>
    <w:rPr>
      <w:color w:val="414042" w:themeColor="accent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A56B4"/>
    <w:pPr>
      <w:spacing w:after="0" w:line="240" w:lineRule="auto"/>
    </w:pPr>
    <w:rPr>
      <w:rFonts w:cstheme="minorHAnsi"/>
      <w:color w:val="414042" w:themeColor="accent6"/>
    </w:rPr>
  </w:style>
  <w:style w:type="paragraph" w:styleId="Header">
    <w:name w:val="header"/>
    <w:basedOn w:val="Normal"/>
    <w:link w:val="HeaderChar"/>
    <w:uiPriority w:val="99"/>
    <w:unhideWhenUsed/>
    <w:rsid w:val="00DA5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6B4"/>
    <w:rPr>
      <w:rFonts w:cstheme="minorHAnsi"/>
      <w:color w:val="414042" w:themeColor="accent6"/>
    </w:rPr>
  </w:style>
  <w:style w:type="paragraph" w:styleId="Footer">
    <w:name w:val="footer"/>
    <w:basedOn w:val="Normal"/>
    <w:link w:val="FooterChar"/>
    <w:uiPriority w:val="99"/>
    <w:unhideWhenUsed/>
    <w:rsid w:val="00DA5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6B4"/>
    <w:rPr>
      <w:rFonts w:cstheme="minorHAnsi"/>
      <w:color w:val="414042" w:themeColor="accent6"/>
    </w:rPr>
  </w:style>
  <w:style w:type="paragraph" w:styleId="Title">
    <w:name w:val="Title"/>
    <w:basedOn w:val="Normal"/>
    <w:next w:val="Normal"/>
    <w:link w:val="TitleChar"/>
    <w:uiPriority w:val="10"/>
    <w:qFormat/>
    <w:rsid w:val="00DA56B4"/>
    <w:pPr>
      <w:spacing w:before="6120" w:after="0" w:line="240" w:lineRule="auto"/>
      <w:contextualSpacing/>
    </w:pPr>
    <w:rPr>
      <w:rFonts w:ascii="Corbel" w:eastAsiaTheme="majorEastAsia" w:hAnsi="Corbel" w:cstheme="majorBidi"/>
      <w:b/>
      <w:color w:val="0075BF" w:themeColor="text2"/>
      <w:spacing w:val="-10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6B4"/>
    <w:rPr>
      <w:rFonts w:ascii="Corbel" w:eastAsiaTheme="majorEastAsia" w:hAnsi="Corbel" w:cstheme="majorBidi"/>
      <w:b/>
      <w:color w:val="0075BF" w:themeColor="text2"/>
      <w:spacing w:val="-10"/>
      <w:kern w:val="28"/>
      <w:sz w:val="8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6B4"/>
    <w:pPr>
      <w:numPr>
        <w:ilvl w:val="1"/>
      </w:numPr>
      <w:spacing w:before="240" w:after="160" w:line="276" w:lineRule="auto"/>
    </w:pPr>
    <w:rPr>
      <w:rFonts w:eastAsiaTheme="minorEastAsia" w:cstheme="minorBidi"/>
      <w:color w:val="5A5A5A" w:themeColor="text1" w:themeTint="A5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DA56B4"/>
    <w:rPr>
      <w:rFonts w:eastAsiaTheme="minorEastAsia"/>
      <w:color w:val="5A5A5A" w:themeColor="text1" w:themeTint="A5"/>
      <w:spacing w:val="15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rsid w:val="00DA56B4"/>
    <w:rPr>
      <w:rFonts w:ascii="Calibri" w:eastAsiaTheme="majorEastAsia" w:hAnsi="Calibri" w:cstheme="majorBidi"/>
      <w:b/>
      <w:color w:val="414042" w:themeColor="accent6"/>
      <w:sz w:val="24"/>
      <w:szCs w:val="24"/>
    </w:rPr>
  </w:style>
  <w:style w:type="character" w:styleId="Strong">
    <w:name w:val="Strong"/>
    <w:basedOn w:val="DefaultParagraphFont"/>
    <w:uiPriority w:val="22"/>
    <w:qFormat/>
    <w:rsid w:val="00526D24"/>
    <w:rPr>
      <w:b/>
      <w:bCs/>
    </w:rPr>
  </w:style>
  <w:style w:type="paragraph" w:styleId="Revision">
    <w:name w:val="Revision"/>
    <w:hidden/>
    <w:uiPriority w:val="99"/>
    <w:semiHidden/>
    <w:rsid w:val="006B0785"/>
    <w:pPr>
      <w:spacing w:after="0" w:line="240" w:lineRule="auto"/>
    </w:pPr>
    <w:rPr>
      <w:rFonts w:cstheme="minorHAnsi"/>
      <w:color w:val="414042" w:themeColor="accent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ogo.ca/satellite-manual/1-0-introduction/1-4-pogo-satellite-manual-disclaimer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ogo.ca/satellite-manual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OGO1">
  <a:themeElements>
    <a:clrScheme name="POGO1">
      <a:dk1>
        <a:sysClr val="windowText" lastClr="000000"/>
      </a:dk1>
      <a:lt1>
        <a:sysClr val="window" lastClr="FFFFFF"/>
      </a:lt1>
      <a:dk2>
        <a:srgbClr val="0075BF"/>
      </a:dk2>
      <a:lt2>
        <a:srgbClr val="0099D8"/>
      </a:lt2>
      <a:accent1>
        <a:srgbClr val="00B0E5"/>
      </a:accent1>
      <a:accent2>
        <a:srgbClr val="7DC242"/>
      </a:accent2>
      <a:accent3>
        <a:srgbClr val="F6CF3E"/>
      </a:accent3>
      <a:accent4>
        <a:srgbClr val="A1007D"/>
      </a:accent4>
      <a:accent5>
        <a:srgbClr val="D31D57"/>
      </a:accent5>
      <a:accent6>
        <a:srgbClr val="414042"/>
      </a:accent6>
      <a:hlink>
        <a:srgbClr val="0075BF"/>
      </a:hlink>
      <a:folHlink>
        <a:srgbClr val="A10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4D0EE17079E4CB60A785DF906A41E" ma:contentTypeVersion="21" ma:contentTypeDescription="Create a new document." ma:contentTypeScope="" ma:versionID="36a0bc2eda9d0ca4ef89f8f88307b9b0">
  <xsd:schema xmlns:xsd="http://www.w3.org/2001/XMLSchema" xmlns:xs="http://www.w3.org/2001/XMLSchema" xmlns:p="http://schemas.microsoft.com/office/2006/metadata/properties" xmlns:ns1="http://schemas.microsoft.com/sharepoint/v3" xmlns:ns2="b989db4c-a4b3-4e66-a6fb-fa0839a5f2a4" xmlns:ns3="5aca705f-b985-4b76-baee-912334a29a5e" xmlns:ns4="4930ab94-c20b-44a9-b8c5-d93b45989fba" xmlns:ns5="http://schemas.microsoft.com/sharepoint/v3/fields" targetNamespace="http://schemas.microsoft.com/office/2006/metadata/properties" ma:root="true" ma:fieldsID="be1b4afdccc608028ca91390cb0a1bc5" ns1:_="" ns2:_="" ns3:_="" ns4:_="" ns5:_="">
    <xsd:import namespace="http://schemas.microsoft.com/sharepoint/v3"/>
    <xsd:import namespace="b989db4c-a4b3-4e66-a6fb-fa0839a5f2a4"/>
    <xsd:import namespace="5aca705f-b985-4b76-baee-912334a29a5e"/>
    <xsd:import namespace="4930ab94-c20b-44a9-b8c5-d93b45989fb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rget_x0020_Audiences" minOccurs="0"/>
                <xsd:element ref="ns3:_ModernAudienceTargetUserField" minOccurs="0"/>
                <xsd:element ref="ns3:_ModernAudienceAadObjectIds" minOccurs="0"/>
                <xsd:element ref="ns2:TaxKeywordTaxHTField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5:Location" minOccurs="0"/>
                <xsd:element ref="ns4:MediaServiceObjectDetectorVersions" minOccurs="0"/>
                <xsd:element ref="ns4:MediaServiceSearchPropertie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db4c-a4b3-4e66-a6fb-fa0839a5f2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047e7372-99e8-4449-9de2-bfd10865b5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6057e9ce-26bf-49f2-bfbf-edd79e078460}" ma:internalName="TaxCatchAll" ma:showField="CatchAllData" ma:web="b989db4c-a4b3-4e66-a6fb-fa0839a5f2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a705f-b985-4b76-baee-912334a29a5e" elementFormDefault="qualified">
    <xsd:import namespace="http://schemas.microsoft.com/office/2006/documentManagement/types"/>
    <xsd:import namespace="http://schemas.microsoft.com/office/infopath/2007/PartnerControls"/>
    <xsd:element name="Target_x0020_Audiences" ma:index="12" nillable="true" ma:displayName="Target Audiences" ma:internalName="Target_x0020_Audiences">
      <xsd:simpleType>
        <xsd:restriction base="dms:Unknown"/>
      </xsd:simpleType>
    </xsd:element>
    <xsd:element name="_ModernAudienceTargetUserField" ma:index="13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4" nillable="true" ma:displayName="AudienceIds" ma:list="{9aa6977d-72b8-4708-976a-a64d11d1f7cc}" ma:internalName="_ModernAudienceAadObjectIds" ma:readOnly="true" ma:showField="_AadObjectIdForUser" ma:web="b989db4c-a4b3-4e66-a6fb-fa0839a5f2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0ab94-c20b-44a9-b8c5-d93b45989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047e7372-99e8-4449-9de2-bfd10865b5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ocation" ma:index="23" nillable="true" ma:displayName="Location" ma:internalName="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rget_x0020_Audiences xmlns="5aca705f-b985-4b76-baee-912334a29a5e" xsi:nil="true"/>
    <_ModernAudienceTargetUserField xmlns="5aca705f-b985-4b76-baee-912334a29a5e">
      <UserInfo>
        <DisplayName/>
        <AccountId xsi:nil="true"/>
        <AccountType/>
      </UserInfo>
    </_ModernAudienceTargetUserField>
    <_ip_UnifiedCompliancePolicyProperties xmlns="http://schemas.microsoft.com/sharepoint/v3" xsi:nil="true"/>
    <TaxCatchAll xmlns="b989db4c-a4b3-4e66-a6fb-fa0839a5f2a4" xsi:nil="true"/>
    <TaxKeywordTaxHTField xmlns="b989db4c-a4b3-4e66-a6fb-fa0839a5f2a4">
      <Terms xmlns="http://schemas.microsoft.com/office/infopath/2007/PartnerControls"/>
    </TaxKeywordTaxHTField>
    <_dlc_DocId xmlns="b989db4c-a4b3-4e66-a6fb-fa0839a5f2a4">FCPRUH7WV4CY-1505868501-91898</_dlc_DocId>
    <_dlc_DocIdUrl xmlns="b989db4c-a4b3-4e66-a6fb-fa0839a5f2a4">
      <Url>https://pogoca.sharepoint.com/sites/FCliPro/_layouts/15/DocIdRedir.aspx?ID=FCPRUH7WV4CY-1505868501-91898</Url>
      <Description>FCPRUH7WV4CY-1505868501-91898</Description>
    </_dlc_DocIdUrl>
    <Location xmlns="http://schemas.microsoft.com/sharepoint/v3/fields" xsi:nil="true"/>
    <lcf76f155ced4ddcb4097134ff3c332f xmlns="4930ab94-c20b-44a9-b8c5-d93b45989f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49EDEF-04D8-45FB-B8BF-ADF7BE8B08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227E29-1120-46D5-B407-36D48739239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9504A26-3C41-4481-9C4F-9B7300D29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89db4c-a4b3-4e66-a6fb-fa0839a5f2a4"/>
    <ds:schemaRef ds:uri="5aca705f-b985-4b76-baee-912334a29a5e"/>
    <ds:schemaRef ds:uri="4930ab94-c20b-44a9-b8c5-d93b45989fba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96F58B-2E83-4B9A-B7E2-F81419C439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aca705f-b985-4b76-baee-912334a29a5e"/>
    <ds:schemaRef ds:uri="b989db4c-a4b3-4e66-a6fb-fa0839a5f2a4"/>
    <ds:schemaRef ds:uri="http://schemas.microsoft.com/sharepoint/v3/fields"/>
    <ds:schemaRef ds:uri="4930ab94-c20b-44a9-b8c5-d93b45989fba"/>
  </ds:schemaRefs>
</ds:datastoreItem>
</file>

<file path=docMetadata/LabelInfo.xml><?xml version="1.0" encoding="utf-8"?>
<clbl:labelList xmlns:clbl="http://schemas.microsoft.com/office/2020/mipLabelMetadata">
  <clbl:label id="{b54c6f75-c087-4e32-8298-572d6c19b095}" enabled="0" method="" siteId="{b54c6f75-c087-4e32-8298-572d6c19b0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Erwinia Asparaginase Module | POGO Satellite Manual</vt:lpstr>
    </vt:vector>
  </TitlesOfParts>
  <Company>POGO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Crisantaspase (Rylaze) Asparaginase Module | POGO Satellite Manual</dc:title>
  <dc:subject/>
  <dc:creator>Pediatric Oncology Group of Ontario</dc:creator>
  <cp:keywords/>
  <dc:description/>
  <cp:lastModifiedBy>Usama Memon</cp:lastModifiedBy>
  <cp:revision>12</cp:revision>
  <cp:lastPrinted>2024-03-07T21:13:00Z</cp:lastPrinted>
  <dcterms:created xsi:type="dcterms:W3CDTF">2024-03-07T20:09:00Z</dcterms:created>
  <dcterms:modified xsi:type="dcterms:W3CDTF">2024-03-07T21:14:00Z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0x010100DE04D0EE17079E4CB60A785DF906A41E</vt:lpwstr>
  </property>
  <property fmtid="{D5CDD505-2E9C-101B-9397-08002B2CF9AE}" pid="3" name="Order">
    <vt:r8>2893200</vt:r8>
  </property>
  <property fmtid="{D5CDD505-2E9C-101B-9397-08002B2CF9AE}" pid="4" name="TaxKeyword">
    <vt:lpwstr/>
  </property>
  <property fmtid="{D5CDD505-2E9C-101B-9397-08002B2CF9AE}" pid="5" name="_dlc_DocIdItemGuid">
    <vt:lpwstr>1cb79ab2-3fc5-4f55-8765-3e80cd39923b</vt:lpwstr>
  </property>
  <property fmtid="{D5CDD505-2E9C-101B-9397-08002B2CF9AE}" pid="6" name="MediaServiceImageTags">
    <vt:lpwstr/>
  </property>
</Properties>
</file>