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A673A" w14:textId="77777777" w:rsidR="00CA73C3" w:rsidRDefault="00B61108" w:rsidP="00A31972">
      <w:pPr>
        <w:pStyle w:val="Heading1"/>
        <w:rPr>
          <w:rFonts w:eastAsia="Times New Roman"/>
        </w:rPr>
      </w:pPr>
      <w:r>
        <w:rPr>
          <w:rFonts w:eastAsia="Times New Roman"/>
        </w:rPr>
        <w:t>4.2.2 Intravenous Pentamidine</w:t>
      </w:r>
    </w:p>
    <w:p w14:paraId="65172B35" w14:textId="1CD4D489" w:rsidR="00B61108" w:rsidRPr="009D49CA" w:rsidRDefault="00B61108" w:rsidP="009D49CA">
      <w:pPr>
        <w:pStyle w:val="Heading2"/>
        <w:rPr>
          <w:rFonts w:eastAsiaTheme="minorHAnsi"/>
        </w:rPr>
      </w:pPr>
      <w:r w:rsidRPr="00B61108">
        <w:rPr>
          <w:rFonts w:eastAsiaTheme="minorHAnsi"/>
        </w:rPr>
        <w:t>Purpose</w:t>
      </w:r>
    </w:p>
    <w:p w14:paraId="1C2AAD48" w14:textId="7D4A4234" w:rsidR="00B61108" w:rsidRPr="00B61108" w:rsidRDefault="00B61108" w:rsidP="009D49CA">
      <w:r w:rsidRPr="00B61108">
        <w:t>Th</w:t>
      </w:r>
      <w:r w:rsidR="009D49CA">
        <w:t>e Registered Nurse administers i</w:t>
      </w:r>
      <w:r w:rsidRPr="00B61108">
        <w:t xml:space="preserve">ntravenous (IV) pentamidine to the patient for </w:t>
      </w:r>
      <w:r w:rsidR="009D49CA">
        <w:t>the prevention or treatment of p</w:t>
      </w:r>
      <w:r w:rsidRPr="00B61108">
        <w:t xml:space="preserve">neumocystis </w:t>
      </w:r>
      <w:proofErr w:type="spellStart"/>
      <w:r w:rsidRPr="00B61108">
        <w:t>jiroveci</w:t>
      </w:r>
      <w:proofErr w:type="spellEnd"/>
      <w:r w:rsidRPr="00B61108">
        <w:t xml:space="preserve"> </w:t>
      </w:r>
      <w:r w:rsidR="009D49CA">
        <w:t xml:space="preserve">(formerly </w:t>
      </w:r>
      <w:proofErr w:type="spellStart"/>
      <w:r w:rsidR="009D49CA">
        <w:t>carinii</w:t>
      </w:r>
      <w:proofErr w:type="spellEnd"/>
      <w:r w:rsidR="009D49CA">
        <w:t>) pneumonia (</w:t>
      </w:r>
      <w:r w:rsidRPr="00B61108">
        <w:t>PJP</w:t>
      </w:r>
      <w:r w:rsidR="009D49CA">
        <w:t xml:space="preserve"> or PCP</w:t>
      </w:r>
      <w:r w:rsidRPr="00B61108">
        <w:t>). PJP can be severe or fatal if not promptly treated. It can affect the lungs as well as other parts of the body, including the skin and internal organs.</w:t>
      </w:r>
    </w:p>
    <w:p w14:paraId="24B7F105" w14:textId="430F6760" w:rsidR="00B61108" w:rsidRPr="009D49CA" w:rsidRDefault="00B61108" w:rsidP="009D49CA">
      <w:pPr>
        <w:pStyle w:val="Heading2"/>
        <w:rPr>
          <w:rFonts w:eastAsiaTheme="minorHAnsi"/>
        </w:rPr>
      </w:pPr>
      <w:r w:rsidRPr="00B61108">
        <w:rPr>
          <w:rFonts w:eastAsiaTheme="minorHAnsi"/>
        </w:rPr>
        <w:t>Overview</w:t>
      </w:r>
    </w:p>
    <w:p w14:paraId="63345791" w14:textId="64F194AA" w:rsidR="00B61108" w:rsidRPr="00B61108" w:rsidRDefault="00B61108" w:rsidP="00EB4322">
      <w:r w:rsidRPr="00B61108">
        <w:t xml:space="preserve">Pentamidine is an antiprotozoal agent used to help prevent the growth of PJP, a microorganism often found in the lungs of patients who are immunosuppressed. When </w:t>
      </w:r>
      <w:proofErr w:type="gramStart"/>
      <w:r w:rsidRPr="00B61108">
        <w:t>deemed necessary, pentamidine</w:t>
      </w:r>
      <w:proofErr w:type="gramEnd"/>
      <w:r w:rsidRPr="00B61108">
        <w:t xml:space="preserve"> may be given via the IV route to patients intolerant of the inhaled route.</w:t>
      </w:r>
    </w:p>
    <w:p w14:paraId="0A0CEBDA" w14:textId="7BE4E5BF" w:rsidR="00B61108" w:rsidRPr="00EB4322" w:rsidRDefault="00B61108" w:rsidP="00EB4322">
      <w:pPr>
        <w:pStyle w:val="Heading2"/>
        <w:rPr>
          <w:rFonts w:eastAsiaTheme="minorHAnsi"/>
        </w:rPr>
      </w:pPr>
      <w:r w:rsidRPr="00B61108">
        <w:rPr>
          <w:rFonts w:eastAsiaTheme="minorHAnsi"/>
        </w:rPr>
        <w:t>Contraindications</w:t>
      </w:r>
    </w:p>
    <w:p w14:paraId="7B332A64" w14:textId="43DD528A" w:rsidR="00B61108" w:rsidRPr="00B61108" w:rsidRDefault="00B61108" w:rsidP="00EB4322">
      <w:r w:rsidRPr="00B61108">
        <w:t>Hypersensitivity to pentamidine isethionate or any component of the formulation.</w:t>
      </w:r>
    </w:p>
    <w:p w14:paraId="735A73B8" w14:textId="56ED87B8" w:rsidR="00B61108" w:rsidRPr="00EB4322" w:rsidRDefault="00B61108" w:rsidP="00EB4322">
      <w:pPr>
        <w:pStyle w:val="Heading2"/>
        <w:rPr>
          <w:rFonts w:eastAsiaTheme="minorHAnsi"/>
        </w:rPr>
      </w:pPr>
      <w:r w:rsidRPr="00B61108">
        <w:rPr>
          <w:rFonts w:eastAsiaTheme="minorHAnsi"/>
        </w:rPr>
        <w:t>Precautions</w:t>
      </w:r>
    </w:p>
    <w:p w14:paraId="70164D02" w14:textId="6DE917A8" w:rsidR="00B61108" w:rsidRPr="00EB4322" w:rsidRDefault="00B61108" w:rsidP="00EB4322">
      <w:pPr>
        <w:pStyle w:val="Heading5"/>
      </w:pPr>
      <w:r w:rsidRPr="00B61108">
        <w:rPr>
          <w:rFonts w:eastAsiaTheme="minorHAnsi"/>
        </w:rPr>
        <w:t>Conc</w:t>
      </w:r>
      <w:r w:rsidR="00EB4322">
        <w:rPr>
          <w:rFonts w:eastAsiaTheme="minorHAnsi"/>
        </w:rPr>
        <w:t>erns related to adverse effects</w:t>
      </w:r>
    </w:p>
    <w:p w14:paraId="2295269C" w14:textId="2AA5430C" w:rsidR="00B61108" w:rsidRPr="00B61108" w:rsidRDefault="00B61108" w:rsidP="00EB4322">
      <w:pPr>
        <w:pStyle w:val="ListParagraph"/>
        <w:numPr>
          <w:ilvl w:val="0"/>
          <w:numId w:val="6"/>
        </w:numPr>
      </w:pPr>
      <w:r w:rsidRPr="00B61108">
        <w:t xml:space="preserve">Hypotension: Severe hypotension (some fatalities) </w:t>
      </w:r>
      <w:proofErr w:type="gramStart"/>
      <w:r w:rsidRPr="00B61108">
        <w:t>has been obse</w:t>
      </w:r>
      <w:r w:rsidR="00EB4322">
        <w:t>rved</w:t>
      </w:r>
      <w:proofErr w:type="gramEnd"/>
      <w:r w:rsidR="00EB4322">
        <w:t xml:space="preserve">, even after a single dose. </w:t>
      </w:r>
      <w:r w:rsidRPr="00B61108">
        <w:t>More common with rapid IV administration. Monitor blood pressure during (and after) infusion.</w:t>
      </w:r>
    </w:p>
    <w:p w14:paraId="4EF70344" w14:textId="77777777" w:rsidR="00B61108" w:rsidRPr="00B61108" w:rsidRDefault="00B61108" w:rsidP="00EB4322">
      <w:pPr>
        <w:pStyle w:val="ListParagraph"/>
        <w:numPr>
          <w:ilvl w:val="0"/>
          <w:numId w:val="6"/>
        </w:numPr>
      </w:pPr>
      <w:r w:rsidRPr="00B61108">
        <w:t>QT prolongation: May cause QT prolongation and subsequent torsade de pointes; avoid use in patients with diagnosed or suspected congenital long QT syndrome.</w:t>
      </w:r>
    </w:p>
    <w:p w14:paraId="75452450" w14:textId="0B7F5511" w:rsidR="00B61108" w:rsidRPr="00EB4322" w:rsidRDefault="00EB4322" w:rsidP="00EB4322">
      <w:pPr>
        <w:pStyle w:val="Heading5"/>
      </w:pPr>
      <w:r>
        <w:rPr>
          <w:rFonts w:eastAsiaTheme="minorHAnsi"/>
        </w:rPr>
        <w:t>Disease-related concerns</w:t>
      </w:r>
    </w:p>
    <w:p w14:paraId="788EFE61" w14:textId="41260AAD" w:rsidR="00B61108" w:rsidRPr="00B61108" w:rsidRDefault="00EB4322" w:rsidP="00EB4322">
      <w:pPr>
        <w:pStyle w:val="ListParagraph"/>
        <w:numPr>
          <w:ilvl w:val="0"/>
          <w:numId w:val="7"/>
        </w:numPr>
      </w:pPr>
      <w:proofErr w:type="spellStart"/>
      <w:r>
        <w:t>Haematologic</w:t>
      </w:r>
      <w:proofErr w:type="spellEnd"/>
      <w:r>
        <w:t xml:space="preserve"> disorders: A</w:t>
      </w:r>
      <w:r w:rsidR="00B61108" w:rsidRPr="00B61108">
        <w:t xml:space="preserve">nemia, leukopenia and/or thrombocytopenia </w:t>
      </w:r>
      <w:proofErr w:type="gramStart"/>
      <w:r w:rsidR="00B61108" w:rsidRPr="00B61108">
        <w:t>have been reported</w:t>
      </w:r>
      <w:proofErr w:type="gramEnd"/>
      <w:r w:rsidR="00B61108" w:rsidRPr="00B61108">
        <w:t>.</w:t>
      </w:r>
    </w:p>
    <w:p w14:paraId="20C1D00B" w14:textId="62126F9C" w:rsidR="00B61108" w:rsidRPr="00B61108" w:rsidRDefault="00EB4322" w:rsidP="00EB4322">
      <w:pPr>
        <w:pStyle w:val="ListParagraph"/>
        <w:numPr>
          <w:ilvl w:val="0"/>
          <w:numId w:val="7"/>
        </w:numPr>
      </w:pPr>
      <w:r>
        <w:t>Cardiovascular disorder: U</w:t>
      </w:r>
      <w:r w:rsidR="00B61108" w:rsidRPr="00B61108">
        <w:t xml:space="preserve">se with caution in patients with preexisting cardiovascular disease; </w:t>
      </w:r>
      <w:proofErr w:type="gramStart"/>
      <w:r w:rsidR="00B61108" w:rsidRPr="00B61108">
        <w:t>hyper</w:t>
      </w:r>
      <w:proofErr w:type="gramEnd"/>
      <w:r w:rsidR="00B61108" w:rsidRPr="00B61108">
        <w:t>-/hypotension and arrhythmia, including ventricular tachycardia (e.g., torsade de pointes) have been reported.</w:t>
      </w:r>
    </w:p>
    <w:p w14:paraId="4656F2C3" w14:textId="39A2EE69" w:rsidR="00B61108" w:rsidRPr="00B61108" w:rsidRDefault="00B61108" w:rsidP="00EB4322">
      <w:pPr>
        <w:pStyle w:val="ListParagraph"/>
        <w:numPr>
          <w:ilvl w:val="0"/>
          <w:numId w:val="7"/>
        </w:numPr>
      </w:pPr>
      <w:r w:rsidRPr="00B61108">
        <w:t>Pancreatitis: Use with caution in patients with a history of pancreatic disease or elevated amylase/lipase levels</w:t>
      </w:r>
      <w:r w:rsidR="00EB4322">
        <w:t>.</w:t>
      </w:r>
    </w:p>
    <w:p w14:paraId="10AC0898" w14:textId="75DCD42B" w:rsidR="00B61108" w:rsidRPr="00B61108" w:rsidRDefault="00EB4322" w:rsidP="00EB4322">
      <w:pPr>
        <w:pStyle w:val="ListParagraph"/>
        <w:numPr>
          <w:ilvl w:val="0"/>
          <w:numId w:val="7"/>
        </w:numPr>
      </w:pPr>
      <w:r>
        <w:t>Hypocalcemia: U</w:t>
      </w:r>
      <w:r w:rsidR="00B61108" w:rsidRPr="00B61108">
        <w:t>se with caution</w:t>
      </w:r>
      <w:r>
        <w:t>.</w:t>
      </w:r>
    </w:p>
    <w:p w14:paraId="32D27C52" w14:textId="37294097" w:rsidR="00B61108" w:rsidRPr="00B61108" w:rsidRDefault="00EB4322" w:rsidP="00EB4322">
      <w:pPr>
        <w:pStyle w:val="ListParagraph"/>
        <w:numPr>
          <w:ilvl w:val="0"/>
          <w:numId w:val="7"/>
        </w:numPr>
      </w:pPr>
      <w:r>
        <w:t>Hepatic or renal impairment: U</w:t>
      </w:r>
      <w:r w:rsidR="00B61108" w:rsidRPr="00B61108">
        <w:t>se with caution</w:t>
      </w:r>
      <w:r>
        <w:t>.</w:t>
      </w:r>
    </w:p>
    <w:p w14:paraId="4FF82C1B" w14:textId="2CED4991" w:rsidR="00B61108" w:rsidRPr="00B61108" w:rsidRDefault="00EB4322" w:rsidP="00EB4322">
      <w:pPr>
        <w:pStyle w:val="ListParagraph"/>
        <w:numPr>
          <w:ilvl w:val="0"/>
          <w:numId w:val="7"/>
        </w:numPr>
      </w:pPr>
      <w:r>
        <w:t>Diabetes mellitus: M</w:t>
      </w:r>
      <w:r w:rsidR="00B61108" w:rsidRPr="00B61108">
        <w:t>onitor blood glucose daily on therapy and periodically thereafter</w:t>
      </w:r>
      <w:r>
        <w:t>.</w:t>
      </w:r>
    </w:p>
    <w:p w14:paraId="4A0D5E6C" w14:textId="26843811" w:rsidR="00B61108" w:rsidRPr="00EB4322" w:rsidRDefault="00B61108" w:rsidP="00EB4322">
      <w:pPr>
        <w:pStyle w:val="Heading2"/>
        <w:rPr>
          <w:rFonts w:eastAsiaTheme="minorHAnsi"/>
        </w:rPr>
      </w:pPr>
      <w:r w:rsidRPr="00B61108">
        <w:rPr>
          <w:rFonts w:eastAsiaTheme="minorHAnsi"/>
        </w:rPr>
        <w:t>Extravasation</w:t>
      </w:r>
    </w:p>
    <w:p w14:paraId="56088A05" w14:textId="0A11F27D" w:rsidR="005D125D" w:rsidRDefault="00EB4322" w:rsidP="00EB4322">
      <w:r>
        <w:t>IV p</w:t>
      </w:r>
      <w:r w:rsidR="00B61108" w:rsidRPr="00B61108">
        <w:t>entamidine is an irritant with vesicant-like properties. Ensure proper needle or catheter placement prior to and during infusion; avoid extravasa</w:t>
      </w:r>
      <w:r w:rsidR="005D125D">
        <w:t>tion. If extravasation occurs:</w:t>
      </w:r>
    </w:p>
    <w:p w14:paraId="44B61229" w14:textId="77777777" w:rsidR="005D125D" w:rsidRDefault="005D125D" w:rsidP="005D125D">
      <w:pPr>
        <w:pStyle w:val="ListParagraph"/>
        <w:numPr>
          <w:ilvl w:val="0"/>
          <w:numId w:val="8"/>
        </w:numPr>
      </w:pPr>
      <w:r>
        <w:t>S</w:t>
      </w:r>
      <w:r w:rsidR="00B61108" w:rsidRPr="00B61108">
        <w:t>top infusion immediately and discon</w:t>
      </w:r>
      <w:r>
        <w:t>nect (leave cannula in place)</w:t>
      </w:r>
    </w:p>
    <w:p w14:paraId="38BAABA5" w14:textId="77777777" w:rsidR="005D125D" w:rsidRDefault="005D125D" w:rsidP="005D125D">
      <w:pPr>
        <w:pStyle w:val="ListParagraph"/>
        <w:numPr>
          <w:ilvl w:val="0"/>
          <w:numId w:val="8"/>
        </w:numPr>
      </w:pPr>
      <w:r>
        <w:t>G</w:t>
      </w:r>
      <w:r w:rsidR="00B61108" w:rsidRPr="00B61108">
        <w:t xml:space="preserve">ently aspirate </w:t>
      </w:r>
      <w:proofErr w:type="spellStart"/>
      <w:r w:rsidR="00B61108" w:rsidRPr="00B61108">
        <w:t>extravasated</w:t>
      </w:r>
      <w:proofErr w:type="spellEnd"/>
      <w:r w:rsidR="00B61108" w:rsidRPr="00B61108">
        <w:t xml:space="preserve"> sol</w:t>
      </w:r>
      <w:r>
        <w:t>ution (DO NOT flush the line)</w:t>
      </w:r>
    </w:p>
    <w:p w14:paraId="63C200CD" w14:textId="77777777" w:rsidR="005D125D" w:rsidRDefault="005D125D" w:rsidP="005D125D">
      <w:pPr>
        <w:pStyle w:val="ListParagraph"/>
        <w:numPr>
          <w:ilvl w:val="0"/>
          <w:numId w:val="8"/>
        </w:numPr>
      </w:pPr>
      <w:r>
        <w:t>Remove cannula</w:t>
      </w:r>
    </w:p>
    <w:p w14:paraId="1CE6EE63" w14:textId="03ECD059" w:rsidR="005D125D" w:rsidRDefault="005D125D" w:rsidP="005D125D">
      <w:pPr>
        <w:pStyle w:val="ListParagraph"/>
        <w:numPr>
          <w:ilvl w:val="0"/>
          <w:numId w:val="8"/>
        </w:numPr>
      </w:pPr>
      <w:r>
        <w:lastRenderedPageBreak/>
        <w:t>Elevate extremity</w:t>
      </w:r>
    </w:p>
    <w:p w14:paraId="06D1B46E" w14:textId="77777777" w:rsidR="005D125D" w:rsidRDefault="005D125D" w:rsidP="005D125D">
      <w:pPr>
        <w:pStyle w:val="ListParagraph"/>
        <w:numPr>
          <w:ilvl w:val="0"/>
          <w:numId w:val="8"/>
        </w:numPr>
      </w:pPr>
      <w:r>
        <w:t>Apply dry warm compresses</w:t>
      </w:r>
    </w:p>
    <w:p w14:paraId="6A3B2D89" w14:textId="51EE42BA" w:rsidR="00B61108" w:rsidRPr="00B61108" w:rsidRDefault="00B61108" w:rsidP="004068A8">
      <w:r w:rsidRPr="00B61108">
        <w:t xml:space="preserve">Refer to extravasation </w:t>
      </w:r>
      <w:r w:rsidR="00FE33A3" w:rsidRPr="00B61108">
        <w:t>guida</w:t>
      </w:r>
      <w:r w:rsidR="00FE33A3">
        <w:t>nce</w:t>
      </w:r>
      <w:r w:rsidRPr="00B61108">
        <w:t xml:space="preserve"> for management of irritant extravasation.</w:t>
      </w:r>
    </w:p>
    <w:p w14:paraId="1A3697DC" w14:textId="7AB74921" w:rsidR="00B61108" w:rsidRPr="004068A8" w:rsidRDefault="00B61108" w:rsidP="004068A8">
      <w:pPr>
        <w:pStyle w:val="Heading2"/>
        <w:rPr>
          <w:rFonts w:eastAsiaTheme="minorHAnsi"/>
        </w:rPr>
      </w:pPr>
      <w:r w:rsidRPr="00B61108">
        <w:rPr>
          <w:rFonts w:eastAsiaTheme="minorHAnsi"/>
        </w:rPr>
        <w:t>Dosage and Administration</w:t>
      </w:r>
    </w:p>
    <w:p w14:paraId="3B6C87E6" w14:textId="17CBC3E4" w:rsidR="00B61108" w:rsidRPr="00B61108" w:rsidRDefault="004068A8" w:rsidP="004068A8">
      <w:r>
        <w:t xml:space="preserve">Children and Adolescents: IV – </w:t>
      </w:r>
      <w:r w:rsidR="00B61108" w:rsidRPr="00B61108">
        <w:t>4 mg/kg/dose every two to four weeks.</w:t>
      </w:r>
    </w:p>
    <w:p w14:paraId="4DA64624" w14:textId="36FBFB65" w:rsidR="00B61108" w:rsidRPr="00B61108" w:rsidRDefault="00B61108" w:rsidP="004068A8">
      <w:r w:rsidRPr="00B61108">
        <w:t>Please refer to local hospital policy on dilution and administration rate. Administer by slow IV infusi</w:t>
      </w:r>
      <w:r w:rsidR="004068A8">
        <w:t>on over a period of at least 60–</w:t>
      </w:r>
      <w:r w:rsidRPr="00B61108">
        <w:t xml:space="preserve">120 minutes at a final concentration of administration not to exceed 2 mg/ml. Maintain patient lying down during infusion. Rapid infusion causes hypotension. If hypotension occurs, increase </w:t>
      </w:r>
      <w:r w:rsidR="004068A8">
        <w:t>infusion time to 2–3 hours.</w:t>
      </w:r>
    </w:p>
    <w:p w14:paraId="1853CFA7" w14:textId="7780A988" w:rsidR="00B61108" w:rsidRPr="004068A8" w:rsidRDefault="00B61108" w:rsidP="004068A8">
      <w:pPr>
        <w:pStyle w:val="Heading2"/>
        <w:rPr>
          <w:rFonts w:eastAsiaTheme="minorHAnsi"/>
        </w:rPr>
      </w:pPr>
      <w:r w:rsidRPr="00B61108">
        <w:rPr>
          <w:rFonts w:eastAsiaTheme="minorHAnsi"/>
        </w:rPr>
        <w:t>Monitoring</w:t>
      </w:r>
    </w:p>
    <w:p w14:paraId="6251E559" w14:textId="7A4F2A7F" w:rsidR="00B61108" w:rsidRPr="00B61108" w:rsidRDefault="00B61108" w:rsidP="004068A8">
      <w:pPr>
        <w:pStyle w:val="ListParagraph"/>
        <w:numPr>
          <w:ilvl w:val="0"/>
          <w:numId w:val="9"/>
        </w:numPr>
      </w:pPr>
      <w:r w:rsidRPr="00B61108">
        <w:t xml:space="preserve">Determine </w:t>
      </w:r>
      <w:r w:rsidR="004068A8">
        <w:t>b</w:t>
      </w:r>
      <w:r w:rsidRPr="00B61108">
        <w:t xml:space="preserve">aseline </w:t>
      </w:r>
      <w:r w:rsidR="004068A8">
        <w:t>b</w:t>
      </w:r>
      <w:r w:rsidRPr="00B61108">
        <w:t xml:space="preserve">lood </w:t>
      </w:r>
      <w:r w:rsidR="004068A8">
        <w:t>p</w:t>
      </w:r>
      <w:r w:rsidRPr="00B61108">
        <w:t>ressure (BP) and heart rate. Monitor BP and heart rate during infusion until the end of infusion. Check BP and heart rate at end of inf</w:t>
      </w:r>
      <w:r w:rsidR="004068A8">
        <w:t>usion and prior to ambulation.</w:t>
      </w:r>
    </w:p>
    <w:p w14:paraId="7AD8838F" w14:textId="77777777" w:rsidR="00B61108" w:rsidRPr="00B61108" w:rsidRDefault="00B61108" w:rsidP="004068A8">
      <w:pPr>
        <w:pStyle w:val="ListParagraph"/>
        <w:numPr>
          <w:ilvl w:val="0"/>
          <w:numId w:val="9"/>
        </w:numPr>
      </w:pPr>
      <w:r w:rsidRPr="00B61108">
        <w:t>Emergency equipment for resuscitation must be immediately available.</w:t>
      </w:r>
    </w:p>
    <w:p w14:paraId="5F3C0B4B" w14:textId="77777777" w:rsidR="00B61108" w:rsidRPr="00B61108" w:rsidRDefault="00B61108" w:rsidP="004068A8">
      <w:pPr>
        <w:pStyle w:val="ListParagraph"/>
        <w:numPr>
          <w:ilvl w:val="0"/>
          <w:numId w:val="9"/>
        </w:numPr>
      </w:pPr>
      <w:r w:rsidRPr="00B61108">
        <w:t xml:space="preserve">Monitor IV site closely for redness, pain, </w:t>
      </w:r>
      <w:proofErr w:type="gramStart"/>
      <w:r w:rsidRPr="00B61108">
        <w:t>swelling</w:t>
      </w:r>
      <w:proofErr w:type="gramEnd"/>
      <w:r w:rsidRPr="00B61108">
        <w:t>. (Extravasation can cause tissue necrosis and sloughing at site).</w:t>
      </w:r>
    </w:p>
    <w:p w14:paraId="1D8A3050" w14:textId="77777777" w:rsidR="00B61108" w:rsidRPr="00B61108" w:rsidRDefault="00B61108" w:rsidP="004068A8">
      <w:pPr>
        <w:pStyle w:val="ListParagraph"/>
        <w:numPr>
          <w:ilvl w:val="0"/>
          <w:numId w:val="9"/>
        </w:numPr>
      </w:pPr>
      <w:r w:rsidRPr="00B61108">
        <w:t>Ensure adequate hydration.</w:t>
      </w:r>
    </w:p>
    <w:p w14:paraId="596C2E66" w14:textId="7B4995F2" w:rsidR="00B61108" w:rsidRPr="00B61108" w:rsidRDefault="00B61108" w:rsidP="004068A8">
      <w:pPr>
        <w:pStyle w:val="ListParagraph"/>
        <w:numPr>
          <w:ilvl w:val="0"/>
          <w:numId w:val="9"/>
        </w:numPr>
      </w:pPr>
      <w:r w:rsidRPr="00B61108">
        <w:t>Side effects</w:t>
      </w:r>
      <w:r w:rsidR="004068A8">
        <w:t xml:space="preserve"> include (but not limited </w:t>
      </w:r>
      <w:proofErr w:type="gramStart"/>
      <w:r w:rsidR="004068A8">
        <w:t>to):</w:t>
      </w:r>
      <w:proofErr w:type="gramEnd"/>
      <w:r w:rsidR="004068A8">
        <w:t xml:space="preserve"> H</w:t>
      </w:r>
      <w:r w:rsidRPr="00B61108">
        <w:t>ypoglycemia (initially), hyperglycemia, hyperkalemia, hypocalcemia, renal/hepatic toxicity, rapid or irregular pulse, skin rash (Steven Johnson syndrome), fever, pancreatitis, nausea, vomiting, diarrhea.</w:t>
      </w:r>
    </w:p>
    <w:p w14:paraId="263CE7E2" w14:textId="77777777" w:rsidR="00B61108" w:rsidRPr="00B61108" w:rsidRDefault="00B61108" w:rsidP="004068A8">
      <w:pPr>
        <w:pStyle w:val="Heading2"/>
        <w:rPr>
          <w:rFonts w:eastAsiaTheme="minorHAnsi"/>
        </w:rPr>
      </w:pPr>
      <w:r w:rsidRPr="00B61108">
        <w:rPr>
          <w:rFonts w:eastAsiaTheme="minorHAnsi"/>
        </w:rPr>
        <w:t>Documentation</w:t>
      </w:r>
    </w:p>
    <w:p w14:paraId="3A99A3CF" w14:textId="45AE8B25" w:rsidR="00B61108" w:rsidRPr="00B61108" w:rsidRDefault="00B61108" w:rsidP="004068A8">
      <w:r w:rsidRPr="00B61108">
        <w:t>Document all exposures as per hospital policy.</w:t>
      </w:r>
    </w:p>
    <w:p w14:paraId="13C2287A" w14:textId="64B85326" w:rsidR="00FE33A3" w:rsidRDefault="00B61108" w:rsidP="00FE33A3">
      <w:r w:rsidRPr="00B61108">
        <w:t xml:space="preserve">This guidance document was developed by Ms. Patti </w:t>
      </w:r>
      <w:proofErr w:type="spellStart"/>
      <w:r w:rsidRPr="00B61108">
        <w:t>Bambury</w:t>
      </w:r>
      <w:proofErr w:type="spellEnd"/>
      <w:r w:rsidRPr="00B61108">
        <w:t>, Grand River Hospital, Mr. Kaniska Young</w:t>
      </w:r>
      <w:r w:rsidR="004068A8">
        <w:t xml:space="preserve"> </w:t>
      </w:r>
      <w:r w:rsidRPr="00B61108">
        <w:t xml:space="preserve">Tai, </w:t>
      </w:r>
      <w:proofErr w:type="gramStart"/>
      <w:r w:rsidRPr="00B61108">
        <w:t>The</w:t>
      </w:r>
      <w:proofErr w:type="gramEnd"/>
      <w:r w:rsidRPr="00B61108">
        <w:t xml:space="preserve"> Hospital for Sick Children, Ms. Denis</w:t>
      </w:r>
      <w:r w:rsidR="004068A8">
        <w:t>e</w:t>
      </w:r>
      <w:r w:rsidRPr="00B61108">
        <w:t xml:space="preserve"> </w:t>
      </w:r>
      <w:proofErr w:type="spellStart"/>
      <w:r w:rsidRPr="00B61108">
        <w:t>Reniers</w:t>
      </w:r>
      <w:proofErr w:type="spellEnd"/>
      <w:r w:rsidRPr="00B61108">
        <w:t xml:space="preserve">, Children’s Hospital, London Health Sciences Centre and Mr. John </w:t>
      </w:r>
      <w:proofErr w:type="spellStart"/>
      <w:r w:rsidRPr="00B61108">
        <w:t>Wiernikowski</w:t>
      </w:r>
      <w:proofErr w:type="spellEnd"/>
      <w:r w:rsidRPr="00B61108">
        <w:t>, McMaster Children’s Hospital,</w:t>
      </w:r>
      <w:r w:rsidR="004068A8">
        <w:t xml:space="preserve"> Hamilton Health Sciences</w:t>
      </w:r>
      <w:r w:rsidRPr="00B61108">
        <w:t>. Reviewed in consultation with Ms. Kirsty Morelli, Scarborough Health Network, Ms. Mary</w:t>
      </w:r>
      <w:r w:rsidR="00E6377D">
        <w:t xml:space="preserve"> Jo De </w:t>
      </w:r>
      <w:proofErr w:type="spellStart"/>
      <w:r w:rsidR="00E6377D">
        <w:t>C</w:t>
      </w:r>
      <w:bookmarkStart w:id="0" w:name="_GoBack"/>
      <w:bookmarkEnd w:id="0"/>
      <w:r w:rsidRPr="00B61108">
        <w:t>ourcy</w:t>
      </w:r>
      <w:proofErr w:type="spellEnd"/>
      <w:r w:rsidRPr="00B61108">
        <w:t xml:space="preserve"> and Ms. Diana Masse, Children’s Hospital, London Health Sciences Centre, and Ms. Christina McCauley, POGO/The Hospital for Sick Childr</w:t>
      </w:r>
      <w:r w:rsidR="004068A8">
        <w:t>en, based on the sources below.</w:t>
      </w:r>
    </w:p>
    <w:p w14:paraId="6CFA316D" w14:textId="77777777" w:rsidR="00FE33A3" w:rsidRDefault="00FE33A3" w:rsidP="008954DF">
      <w:pPr>
        <w:pStyle w:val="Heading2"/>
      </w:pPr>
      <w:r w:rsidRPr="00FE33A3">
        <w:t>References</w:t>
      </w:r>
    </w:p>
    <w:p w14:paraId="1CA3A696" w14:textId="77777777" w:rsidR="00FE33A3" w:rsidRPr="008954DF" w:rsidRDefault="00B61108" w:rsidP="008954DF">
      <w:pPr>
        <w:pStyle w:val="ListParagraph"/>
        <w:numPr>
          <w:ilvl w:val="0"/>
          <w:numId w:val="11"/>
        </w:numPr>
        <w:rPr>
          <w:rFonts w:ascii="Calibri" w:eastAsiaTheme="majorEastAsia" w:hAnsi="Calibri" w:cstheme="majorBidi"/>
        </w:rPr>
      </w:pPr>
      <w:r w:rsidRPr="00FE33A3">
        <w:t xml:space="preserve">De NC, </w:t>
      </w:r>
      <w:proofErr w:type="spellStart"/>
      <w:r w:rsidRPr="00FE33A3">
        <w:t>Alam</w:t>
      </w:r>
      <w:proofErr w:type="spellEnd"/>
      <w:r w:rsidRPr="00FE33A3">
        <w:t xml:space="preserve"> AS, Kapoor JN. Stability of pentamidine isethionate in 5% dextrose and 0.9% sodium chloride injections. Am J </w:t>
      </w:r>
      <w:proofErr w:type="spellStart"/>
      <w:r w:rsidRPr="00FE33A3">
        <w:t>Hosp</w:t>
      </w:r>
      <w:proofErr w:type="spellEnd"/>
      <w:r w:rsidRPr="00FE33A3">
        <w:t xml:space="preserve"> Pharm 1986; 43:1486-</w:t>
      </w:r>
      <w:proofErr w:type="gramStart"/>
      <w:r w:rsidRPr="00FE33A3">
        <w:t>8.</w:t>
      </w:r>
      <w:proofErr w:type="gramEnd"/>
    </w:p>
    <w:p w14:paraId="76C6EED6" w14:textId="77777777" w:rsidR="00FE33A3" w:rsidRPr="00FE33A3" w:rsidRDefault="00B61108" w:rsidP="00FE33A3">
      <w:pPr>
        <w:pStyle w:val="ListParagraph"/>
        <w:numPr>
          <w:ilvl w:val="0"/>
          <w:numId w:val="11"/>
        </w:numPr>
        <w:rPr>
          <w:rFonts w:ascii="Calibri" w:eastAsiaTheme="majorEastAsia" w:hAnsi="Calibri" w:cstheme="majorBidi"/>
          <w:color w:val="auto"/>
        </w:rPr>
      </w:pPr>
      <w:r w:rsidRPr="00FE33A3">
        <w:t xml:space="preserve">Kim SY, </w:t>
      </w:r>
      <w:proofErr w:type="spellStart"/>
      <w:r w:rsidRPr="00FE33A3">
        <w:t>Dabb</w:t>
      </w:r>
      <w:proofErr w:type="spellEnd"/>
      <w:r w:rsidRPr="00FE33A3">
        <w:t xml:space="preserve"> AA, Glenn DJ, et al</w:t>
      </w:r>
      <w:r w:rsidR="004068A8" w:rsidRPr="00FE33A3">
        <w:t>.</w:t>
      </w:r>
      <w:r w:rsidRPr="00FE33A3">
        <w:t xml:space="preserve"> “Intravenous Pentamidine is Effective as a Second Line Pneumocystis Pneumonia Prophylaxis in Pediatric Oncology Patients,” Pediatric Blood</w:t>
      </w:r>
      <w:r w:rsidR="004068A8" w:rsidRPr="00FE33A3">
        <w:t xml:space="preserve"> </w:t>
      </w:r>
      <w:r w:rsidRPr="00FE33A3">
        <w:t>Cancer, 2008, 50(4): 779-83.</w:t>
      </w:r>
    </w:p>
    <w:p w14:paraId="36196828" w14:textId="77777777" w:rsidR="00FE33A3" w:rsidRPr="00FE33A3" w:rsidRDefault="00B61108" w:rsidP="00FE33A3">
      <w:pPr>
        <w:pStyle w:val="ListParagraph"/>
        <w:numPr>
          <w:ilvl w:val="0"/>
          <w:numId w:val="11"/>
        </w:numPr>
        <w:rPr>
          <w:rFonts w:ascii="Calibri" w:eastAsiaTheme="majorEastAsia" w:hAnsi="Calibri" w:cstheme="majorBidi"/>
          <w:color w:val="auto"/>
        </w:rPr>
      </w:pPr>
      <w:r w:rsidRPr="00FE33A3">
        <w:t xml:space="preserve">Lexi-Comp Select Drug Information from Lexi-Comp Online, Lexi-Comp Inc. Pentamidine: Drug Provided by </w:t>
      </w:r>
      <w:proofErr w:type="spellStart"/>
      <w:r w:rsidRPr="00FE33A3">
        <w:t>UpToDate</w:t>
      </w:r>
      <w:proofErr w:type="spellEnd"/>
      <w:r w:rsidRPr="00FE33A3">
        <w:t xml:space="preserve">, </w:t>
      </w:r>
      <w:proofErr w:type="spellStart"/>
      <w:r w:rsidRPr="00FE33A3">
        <w:t>Walthan</w:t>
      </w:r>
      <w:proofErr w:type="spellEnd"/>
      <w:r w:rsidRPr="00FE33A3">
        <w:t>, MA, 2005. Accessed June 18, 2015.</w:t>
      </w:r>
    </w:p>
    <w:p w14:paraId="5CA3020B" w14:textId="77777777" w:rsidR="00FE33A3" w:rsidRPr="00FE33A3" w:rsidRDefault="00B61108" w:rsidP="00FE33A3">
      <w:pPr>
        <w:pStyle w:val="ListParagraph"/>
        <w:numPr>
          <w:ilvl w:val="0"/>
          <w:numId w:val="11"/>
        </w:numPr>
        <w:rPr>
          <w:rFonts w:ascii="Calibri" w:eastAsiaTheme="majorEastAsia" w:hAnsi="Calibri" w:cstheme="majorBidi"/>
          <w:color w:val="auto"/>
        </w:rPr>
      </w:pPr>
      <w:r w:rsidRPr="00FE33A3">
        <w:lastRenderedPageBreak/>
        <w:t>Pentamidine IV Fact Sheet. Rouge Valley Health System Paediatric IV Manual. Toronto, Rouge Valley Health Systems. Feb 2013. PDF</w:t>
      </w:r>
      <w:r w:rsidR="004068A8" w:rsidRPr="00FE33A3">
        <w:t>.</w:t>
      </w:r>
    </w:p>
    <w:p w14:paraId="2B8BF7AB" w14:textId="77777777" w:rsidR="00FE33A3" w:rsidRPr="00FE33A3" w:rsidRDefault="00B61108" w:rsidP="00FE33A3">
      <w:pPr>
        <w:pStyle w:val="ListParagraph"/>
        <w:numPr>
          <w:ilvl w:val="0"/>
          <w:numId w:val="11"/>
        </w:numPr>
        <w:rPr>
          <w:rFonts w:ascii="Calibri" w:eastAsiaTheme="majorEastAsia" w:hAnsi="Calibri" w:cstheme="majorBidi"/>
          <w:color w:val="auto"/>
        </w:rPr>
      </w:pPr>
      <w:r w:rsidRPr="00FE33A3">
        <w:t>Reynold</w:t>
      </w:r>
      <w:r w:rsidR="004068A8" w:rsidRPr="00FE33A3">
        <w:t xml:space="preserve">s PM, </w:t>
      </w:r>
      <w:proofErr w:type="spellStart"/>
      <w:r w:rsidR="004068A8" w:rsidRPr="00FE33A3">
        <w:t>MacLaren</w:t>
      </w:r>
      <w:proofErr w:type="spellEnd"/>
      <w:r w:rsidR="004068A8" w:rsidRPr="00FE33A3">
        <w:t xml:space="preserve"> R, Mueller SW, et</w:t>
      </w:r>
      <w:r w:rsidRPr="00FE33A3">
        <w:t xml:space="preserve"> al. Management of extravasation injuries:  a focused evaluatio</w:t>
      </w:r>
      <w:r w:rsidR="004068A8" w:rsidRPr="00FE33A3">
        <w:t xml:space="preserve">n of </w:t>
      </w:r>
      <w:proofErr w:type="spellStart"/>
      <w:r w:rsidR="004068A8" w:rsidRPr="00FE33A3">
        <w:t>noncytotoxic</w:t>
      </w:r>
      <w:proofErr w:type="spellEnd"/>
      <w:r w:rsidR="004068A8" w:rsidRPr="00FE33A3">
        <w:t xml:space="preserve"> medications. </w:t>
      </w:r>
      <w:r w:rsidRPr="00FE33A3">
        <w:t>Pharmacotherapy2014; 34(6): 617-32.</w:t>
      </w:r>
    </w:p>
    <w:p w14:paraId="572A22B8" w14:textId="5803F99E" w:rsidR="00B61108" w:rsidRPr="00FE33A3" w:rsidRDefault="00B61108" w:rsidP="00FE33A3">
      <w:pPr>
        <w:pStyle w:val="ListParagraph"/>
        <w:numPr>
          <w:ilvl w:val="0"/>
          <w:numId w:val="11"/>
        </w:numPr>
        <w:rPr>
          <w:rFonts w:ascii="Calibri" w:eastAsiaTheme="majorEastAsia" w:hAnsi="Calibri" w:cstheme="majorBidi"/>
          <w:color w:val="auto"/>
        </w:rPr>
      </w:pPr>
      <w:r w:rsidRPr="00FE33A3">
        <w:t>The Hospital for Sick Children, Toronto. Electronic Formulary, IV Guidelines: Pentamidine</w:t>
      </w:r>
      <w:r w:rsidR="004068A8" w:rsidRPr="00FE33A3">
        <w:t>.</w:t>
      </w:r>
    </w:p>
    <w:p w14:paraId="615DA122" w14:textId="77777777" w:rsidR="00CA0341" w:rsidRPr="000F07E3" w:rsidRDefault="00CA0341" w:rsidP="00EA0E33">
      <w:pPr>
        <w:pStyle w:val="Heading5"/>
        <w:rPr>
          <w:lang w:val="en-CA"/>
        </w:rPr>
      </w:pPr>
      <w:r w:rsidRPr="000F07E3">
        <w:rPr>
          <w:lang w:val="en-CA"/>
        </w:rPr>
        <w:t>Disclaimer</w:t>
      </w:r>
      <w:r>
        <w:rPr>
          <w:lang w:val="en-CA"/>
        </w:rPr>
        <w:t>: Source Accuracy</w:t>
      </w:r>
    </w:p>
    <w:p w14:paraId="5FFB83F2" w14:textId="77777777" w:rsidR="008907E6" w:rsidRDefault="00CA0341" w:rsidP="00A31972">
      <w:pPr>
        <w:rPr>
          <w:lang w:val="en-CA"/>
        </w:rPr>
      </w:pPr>
      <w:r>
        <w:rPr>
          <w:lang w:val="en-CA"/>
        </w:rPr>
        <w:t xml:space="preserve">You are welcome to download and save a local copy of this document in the Word and/or PDF formats provided. As the POGO Satellite Manual is subject to ongoing revisions and updates by POGO, we recommend you regularly check the online version posted at </w:t>
      </w:r>
      <w:hyperlink r:id="rId7" w:history="1">
        <w:r w:rsidRPr="00A527CE">
          <w:rPr>
            <w:rStyle w:val="Hyperlink"/>
            <w:lang w:val="en-CA"/>
          </w:rPr>
          <w:t>https://www.pogo.ca/satellite-manual/</w:t>
        </w:r>
      </w:hyperlink>
      <w:r>
        <w:rPr>
          <w:lang w:val="en-CA"/>
        </w:rPr>
        <w:t xml:space="preserve"> to ensure you have the most up-to-date content. In the event of any inconsistency between the content of a local copy and the online version of the POGO Satellite Manual, the content of the online version </w:t>
      </w:r>
      <w:proofErr w:type="gramStart"/>
      <w:r>
        <w:rPr>
          <w:lang w:val="en-CA"/>
        </w:rPr>
        <w:t>shall be considered</w:t>
      </w:r>
      <w:proofErr w:type="gramEnd"/>
      <w:r>
        <w:rPr>
          <w:lang w:val="en-CA"/>
        </w:rPr>
        <w:t xml:space="preserve"> correct. Please see also the </w:t>
      </w:r>
      <w:hyperlink r:id="rId8" w:history="1">
        <w:r w:rsidRPr="00DA6755">
          <w:rPr>
            <w:rStyle w:val="Hyperlink"/>
            <w:lang w:val="en-CA"/>
          </w:rPr>
          <w:t>POGO Satellite Manual Disclaimer</w:t>
        </w:r>
      </w:hyperlink>
      <w:r>
        <w:rPr>
          <w:lang w:val="en-CA"/>
        </w:rPr>
        <w:t>.</w:t>
      </w:r>
    </w:p>
    <w:p w14:paraId="4F01B8A6" w14:textId="77777777" w:rsidR="00916395" w:rsidRPr="00A5497E" w:rsidRDefault="00916395" w:rsidP="002245A7">
      <w:pPr>
        <w:pStyle w:val="Heading5"/>
        <w:rPr>
          <w:lang w:val="en-CA"/>
        </w:rPr>
      </w:pPr>
      <w:r w:rsidRPr="00A5497E">
        <w:rPr>
          <w:lang w:val="en-CA"/>
        </w:rPr>
        <w:t>Record of Updates</w:t>
      </w:r>
    </w:p>
    <w:tbl>
      <w:tblPr>
        <w:tblStyle w:val="TableGrid"/>
        <w:tblW w:w="0" w:type="auto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885"/>
        <w:gridCol w:w="1800"/>
        <w:gridCol w:w="5665"/>
      </w:tblGrid>
      <w:tr w:rsidR="00916395" w14:paraId="39BE4674" w14:textId="77777777" w:rsidTr="00A5497E">
        <w:tc>
          <w:tcPr>
            <w:tcW w:w="1885" w:type="dxa"/>
            <w:shd w:val="clear" w:color="auto" w:fill="0075BF" w:themeFill="text2"/>
          </w:tcPr>
          <w:p w14:paraId="10159B10" w14:textId="77777777" w:rsidR="00916395" w:rsidRPr="00916395" w:rsidRDefault="00916395" w:rsidP="00916395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916395">
              <w:rPr>
                <w:b/>
                <w:color w:val="FFFFFF" w:themeColor="background1"/>
              </w:rPr>
              <w:t>Version Number</w:t>
            </w:r>
          </w:p>
        </w:tc>
        <w:tc>
          <w:tcPr>
            <w:tcW w:w="1800" w:type="dxa"/>
            <w:shd w:val="clear" w:color="auto" w:fill="0075BF" w:themeFill="text2"/>
          </w:tcPr>
          <w:p w14:paraId="27EA77BA" w14:textId="77777777" w:rsidR="00916395" w:rsidRPr="00916395" w:rsidRDefault="00916395" w:rsidP="00916395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916395">
              <w:rPr>
                <w:b/>
                <w:color w:val="FFFFFF" w:themeColor="background1"/>
              </w:rPr>
              <w:t>Date of Effect</w:t>
            </w:r>
          </w:p>
        </w:tc>
        <w:tc>
          <w:tcPr>
            <w:tcW w:w="5665" w:type="dxa"/>
            <w:shd w:val="clear" w:color="auto" w:fill="0075BF" w:themeFill="text2"/>
          </w:tcPr>
          <w:p w14:paraId="68FFD5E9" w14:textId="77777777" w:rsidR="00916395" w:rsidRPr="00916395" w:rsidRDefault="00916395" w:rsidP="00916395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916395">
              <w:rPr>
                <w:b/>
                <w:color w:val="FFFFFF" w:themeColor="background1"/>
              </w:rPr>
              <w:t>Summary of Revisions</w:t>
            </w:r>
          </w:p>
        </w:tc>
      </w:tr>
      <w:tr w:rsidR="00916395" w14:paraId="3797F74B" w14:textId="77777777" w:rsidTr="00A5497E">
        <w:tc>
          <w:tcPr>
            <w:tcW w:w="1885" w:type="dxa"/>
          </w:tcPr>
          <w:p w14:paraId="53A19ED1" w14:textId="77777777" w:rsidR="00916395" w:rsidRDefault="00916395" w:rsidP="00916395">
            <w:pPr>
              <w:pStyle w:val="NoSpacing"/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1800" w:type="dxa"/>
          </w:tcPr>
          <w:p w14:paraId="7A56871F" w14:textId="516DDAC1" w:rsidR="00916395" w:rsidRDefault="00CD129C" w:rsidP="00916395">
            <w:pPr>
              <w:pStyle w:val="NoSpacing"/>
              <w:jc w:val="center"/>
              <w:rPr>
                <w:lang w:val="en-CA"/>
              </w:rPr>
            </w:pPr>
            <w:r>
              <w:rPr>
                <w:lang w:val="en-CA"/>
              </w:rPr>
              <w:t>2/4/2022</w:t>
            </w:r>
          </w:p>
        </w:tc>
        <w:tc>
          <w:tcPr>
            <w:tcW w:w="5665" w:type="dxa"/>
          </w:tcPr>
          <w:p w14:paraId="648AB03D" w14:textId="77777777" w:rsidR="00916395" w:rsidRPr="00A5497E" w:rsidRDefault="00916395" w:rsidP="00916395">
            <w:pPr>
              <w:pStyle w:val="NoSpacing"/>
              <w:numPr>
                <w:ilvl w:val="0"/>
                <w:numId w:val="4"/>
              </w:numPr>
              <w:rPr>
                <w:lang w:val="en-CA"/>
              </w:rPr>
            </w:pPr>
            <w:r w:rsidRPr="00A5497E">
              <w:rPr>
                <w:lang w:val="en-CA"/>
              </w:rPr>
              <w:t>Original version posted.</w:t>
            </w:r>
          </w:p>
        </w:tc>
      </w:tr>
    </w:tbl>
    <w:p w14:paraId="5BF6B7A2" w14:textId="77777777" w:rsidR="00916395" w:rsidRPr="00916395" w:rsidRDefault="00916395" w:rsidP="00A31972">
      <w:pPr>
        <w:rPr>
          <w:lang w:val="en-CA"/>
        </w:rPr>
      </w:pPr>
    </w:p>
    <w:sectPr w:rsidR="00916395" w:rsidRPr="00916395" w:rsidSect="00C7638B">
      <w:headerReference w:type="default" r:id="rId9"/>
      <w:footerReference w:type="default" r:id="rId10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02134" w14:textId="77777777" w:rsidR="00B61108" w:rsidRDefault="00B61108" w:rsidP="009C56FA">
      <w:pPr>
        <w:spacing w:after="0" w:line="240" w:lineRule="auto"/>
      </w:pPr>
      <w:r>
        <w:separator/>
      </w:r>
    </w:p>
  </w:endnote>
  <w:endnote w:type="continuationSeparator" w:id="0">
    <w:p w14:paraId="28A559CA" w14:textId="77777777" w:rsidR="00B61108" w:rsidRDefault="00B61108" w:rsidP="009C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16DE5" w14:textId="492145BB" w:rsidR="009C56FA" w:rsidRDefault="00406206">
    <w:pPr>
      <w:pStyle w:val="Footer"/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26723152" wp14:editId="05DAED56">
          <wp:simplePos x="0" y="0"/>
          <wp:positionH relativeFrom="column">
            <wp:posOffset>5724525</wp:posOffset>
          </wp:positionH>
          <wp:positionV relativeFrom="paragraph">
            <wp:posOffset>-377825</wp:posOffset>
          </wp:positionV>
          <wp:extent cx="355600" cy="91440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geNumberTab_compl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6206">
      <w:rPr>
        <w:b/>
      </w:rPr>
      <w:fldChar w:fldCharType="begin"/>
    </w:r>
    <w:r w:rsidRPr="00406206">
      <w:rPr>
        <w:b/>
      </w:rPr>
      <w:instrText xml:space="preserve"> FILENAME   \* MERGEFORMAT </w:instrText>
    </w:r>
    <w:r w:rsidRPr="00406206">
      <w:rPr>
        <w:b/>
      </w:rPr>
      <w:fldChar w:fldCharType="separate"/>
    </w:r>
    <w:r w:rsidR="00E03AC2">
      <w:rPr>
        <w:b/>
        <w:noProof/>
      </w:rPr>
      <w:t>4.2.2 Intravenous Pentamidine.docx</w:t>
    </w:r>
    <w:r w:rsidRPr="00406206">
      <w:rPr>
        <w:b/>
      </w:rPr>
      <w:fldChar w:fldCharType="end"/>
    </w:r>
    <w:r w:rsidR="00774EEC">
      <w:ptab w:relativeTo="margin" w:alignment="right" w:leader="none"/>
    </w:r>
    <w:r w:rsidR="00774EEC" w:rsidRPr="009D1835">
      <w:rPr>
        <w:b/>
        <w:color w:val="FFFFFF" w:themeColor="background1"/>
      </w:rPr>
      <w:fldChar w:fldCharType="begin"/>
    </w:r>
    <w:r w:rsidR="00774EEC" w:rsidRPr="009D1835">
      <w:rPr>
        <w:b/>
        <w:color w:val="FFFFFF" w:themeColor="background1"/>
      </w:rPr>
      <w:instrText xml:space="preserve"> PAGE  \* Arabic  \* MERGEFORMAT </w:instrText>
    </w:r>
    <w:r w:rsidR="00774EEC" w:rsidRPr="009D1835">
      <w:rPr>
        <w:b/>
        <w:color w:val="FFFFFF" w:themeColor="background1"/>
      </w:rPr>
      <w:fldChar w:fldCharType="separate"/>
    </w:r>
    <w:r w:rsidR="00E6377D">
      <w:rPr>
        <w:b/>
        <w:noProof/>
        <w:color w:val="FFFFFF" w:themeColor="background1"/>
      </w:rPr>
      <w:t>3</w:t>
    </w:r>
    <w:r w:rsidR="00774EEC" w:rsidRPr="009D1835">
      <w:rPr>
        <w:b/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95D57" w14:textId="77777777" w:rsidR="00B61108" w:rsidRDefault="00B61108" w:rsidP="009C56FA">
      <w:pPr>
        <w:spacing w:after="0" w:line="240" w:lineRule="auto"/>
      </w:pPr>
      <w:r>
        <w:separator/>
      </w:r>
    </w:p>
  </w:footnote>
  <w:footnote w:type="continuationSeparator" w:id="0">
    <w:p w14:paraId="2BE4BE4D" w14:textId="77777777" w:rsidR="00B61108" w:rsidRDefault="00B61108" w:rsidP="009C5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CD01A" w14:textId="77777777" w:rsidR="009C56FA" w:rsidRDefault="009D183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22B8D1" wp14:editId="73192375">
          <wp:simplePos x="0" y="0"/>
          <wp:positionH relativeFrom="column">
            <wp:posOffset>0</wp:posOffset>
          </wp:positionH>
          <wp:positionV relativeFrom="margin">
            <wp:posOffset>-742950</wp:posOffset>
          </wp:positionV>
          <wp:extent cx="3657600" cy="6158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GO_Logo_4Colours_Tagline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61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371"/>
    <w:multiLevelType w:val="hybridMultilevel"/>
    <w:tmpl w:val="50BE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412E6"/>
    <w:multiLevelType w:val="hybridMultilevel"/>
    <w:tmpl w:val="470E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57A8E"/>
    <w:multiLevelType w:val="hybridMultilevel"/>
    <w:tmpl w:val="C95EB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046702"/>
    <w:multiLevelType w:val="hybridMultilevel"/>
    <w:tmpl w:val="1E6E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72B83"/>
    <w:multiLevelType w:val="hybridMultilevel"/>
    <w:tmpl w:val="D8608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D16F5"/>
    <w:multiLevelType w:val="hybridMultilevel"/>
    <w:tmpl w:val="D21C2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72AA1"/>
    <w:multiLevelType w:val="hybridMultilevel"/>
    <w:tmpl w:val="42DC3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D5399"/>
    <w:multiLevelType w:val="multilevel"/>
    <w:tmpl w:val="C83648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B56E1B"/>
    <w:multiLevelType w:val="hybridMultilevel"/>
    <w:tmpl w:val="2702DBFA"/>
    <w:lvl w:ilvl="0" w:tplc="3952645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542D9"/>
    <w:multiLevelType w:val="hybridMultilevel"/>
    <w:tmpl w:val="65C0E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B39A5"/>
    <w:multiLevelType w:val="hybridMultilevel"/>
    <w:tmpl w:val="70D4D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9"/>
  </w:num>
  <w:num w:numId="6">
    <w:abstractNumId w:val="10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08"/>
    <w:rsid w:val="001119CC"/>
    <w:rsid w:val="002245A7"/>
    <w:rsid w:val="00263804"/>
    <w:rsid w:val="00312F5D"/>
    <w:rsid w:val="00386465"/>
    <w:rsid w:val="003C7A2D"/>
    <w:rsid w:val="00406206"/>
    <w:rsid w:val="004068A8"/>
    <w:rsid w:val="00427765"/>
    <w:rsid w:val="005D125D"/>
    <w:rsid w:val="005D75A2"/>
    <w:rsid w:val="005E223D"/>
    <w:rsid w:val="005E3EF8"/>
    <w:rsid w:val="0061794B"/>
    <w:rsid w:val="00652FC3"/>
    <w:rsid w:val="006600F4"/>
    <w:rsid w:val="00700BDB"/>
    <w:rsid w:val="00710A1B"/>
    <w:rsid w:val="00774EEC"/>
    <w:rsid w:val="00776ADE"/>
    <w:rsid w:val="008060C9"/>
    <w:rsid w:val="008537D7"/>
    <w:rsid w:val="008907E6"/>
    <w:rsid w:val="008954DF"/>
    <w:rsid w:val="0089648F"/>
    <w:rsid w:val="008D68A2"/>
    <w:rsid w:val="008F1CF2"/>
    <w:rsid w:val="00916395"/>
    <w:rsid w:val="00926B9D"/>
    <w:rsid w:val="009478E6"/>
    <w:rsid w:val="009C56FA"/>
    <w:rsid w:val="009D1835"/>
    <w:rsid w:val="009D49CA"/>
    <w:rsid w:val="009E3145"/>
    <w:rsid w:val="00A039BC"/>
    <w:rsid w:val="00A31972"/>
    <w:rsid w:val="00A9157D"/>
    <w:rsid w:val="00AD2A48"/>
    <w:rsid w:val="00B61108"/>
    <w:rsid w:val="00B923D1"/>
    <w:rsid w:val="00C62A83"/>
    <w:rsid w:val="00C7638B"/>
    <w:rsid w:val="00CA0341"/>
    <w:rsid w:val="00CA1F4A"/>
    <w:rsid w:val="00CA73C3"/>
    <w:rsid w:val="00CD129C"/>
    <w:rsid w:val="00D01D6D"/>
    <w:rsid w:val="00D4463C"/>
    <w:rsid w:val="00DA56B4"/>
    <w:rsid w:val="00E03AC2"/>
    <w:rsid w:val="00E15E4F"/>
    <w:rsid w:val="00E27635"/>
    <w:rsid w:val="00E4490B"/>
    <w:rsid w:val="00E528B8"/>
    <w:rsid w:val="00E529BC"/>
    <w:rsid w:val="00E6377D"/>
    <w:rsid w:val="00EA0E33"/>
    <w:rsid w:val="00EB4322"/>
    <w:rsid w:val="00F37717"/>
    <w:rsid w:val="00FB61A7"/>
    <w:rsid w:val="00FC0CF7"/>
    <w:rsid w:val="00FE3346"/>
    <w:rsid w:val="00FE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672518"/>
  <w15:chartTrackingRefBased/>
  <w15:docId w15:val="{4048D4A8-72FE-47B3-A09E-7C265488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B4"/>
    <w:pPr>
      <w:spacing w:after="240"/>
    </w:pPr>
    <w:rPr>
      <w:rFonts w:cstheme="minorHAnsi"/>
      <w:color w:val="414042" w:themeColor="accent6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6B4"/>
    <w:pPr>
      <w:keepNext/>
      <w:keepLines/>
      <w:spacing w:line="240" w:lineRule="auto"/>
      <w:outlineLvl w:val="0"/>
    </w:pPr>
    <w:rPr>
      <w:rFonts w:ascii="Corbel" w:eastAsiaTheme="majorEastAsia" w:hAnsi="Corbel" w:cstheme="majorBidi"/>
      <w:b/>
      <w:color w:val="0075BF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56B4"/>
    <w:pPr>
      <w:keepNext/>
      <w:keepLines/>
      <w:spacing w:after="120" w:line="240" w:lineRule="auto"/>
      <w:outlineLvl w:val="1"/>
    </w:pPr>
    <w:rPr>
      <w:rFonts w:ascii="Calibri" w:eastAsiaTheme="majorEastAsia" w:hAnsi="Calibri" w:cstheme="majorBidi"/>
      <w:b/>
      <w:color w:val="7DC242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56B4"/>
    <w:pPr>
      <w:keepNext/>
      <w:keepLines/>
      <w:spacing w:after="40" w:line="240" w:lineRule="auto"/>
      <w:outlineLvl w:val="2"/>
    </w:pPr>
    <w:rPr>
      <w:rFonts w:ascii="Calibri" w:eastAsiaTheme="majorEastAsia" w:hAnsi="Calibri" w:cstheme="majorBidi"/>
      <w:b/>
      <w:sz w:val="24"/>
      <w:szCs w:val="24"/>
    </w:r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DA56B4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5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6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6B4"/>
    <w:rPr>
      <w:rFonts w:cstheme="minorHAnsi"/>
      <w:color w:val="414042" w:themeColor="accent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6B4"/>
    <w:rPr>
      <w:rFonts w:cstheme="minorHAnsi"/>
      <w:b/>
      <w:bCs/>
      <w:color w:val="414042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6B4"/>
    <w:rPr>
      <w:rFonts w:ascii="Segoe UI" w:hAnsi="Segoe UI" w:cs="Segoe UI"/>
      <w:color w:val="414042" w:themeColor="accent6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56B4"/>
    <w:rPr>
      <w:rFonts w:ascii="Calibri" w:hAnsi="Calibri"/>
      <w:color w:val="00B0E5" w:themeColor="accent1"/>
      <w:sz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56B4"/>
    <w:rPr>
      <w:color w:val="A1007D" w:themeColor="followedHyperlink"/>
      <w:u w:val="single"/>
    </w:rPr>
  </w:style>
  <w:style w:type="paragraph" w:customStyle="1" w:styleId="xxmsonormal">
    <w:name w:val="x_xmsonormal"/>
    <w:basedOn w:val="Normal"/>
    <w:rsid w:val="00DA56B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56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56B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A56B4"/>
    <w:rPr>
      <w:rFonts w:ascii="Corbel" w:eastAsiaTheme="majorEastAsia" w:hAnsi="Corbel" w:cstheme="majorBidi"/>
      <w:b/>
      <w:color w:val="0075BF" w:themeColor="text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56B4"/>
    <w:rPr>
      <w:rFonts w:ascii="Calibri" w:eastAsiaTheme="majorEastAsia" w:hAnsi="Calibri" w:cstheme="majorBidi"/>
      <w:b/>
      <w:color w:val="7DC242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56B4"/>
    <w:rPr>
      <w:rFonts w:ascii="Calibri" w:eastAsiaTheme="majorEastAsia" w:hAnsi="Calibri" w:cstheme="majorBidi"/>
      <w:b/>
      <w:color w:val="414042" w:themeColor="accent6"/>
      <w:sz w:val="24"/>
      <w:szCs w:val="24"/>
    </w:rPr>
  </w:style>
  <w:style w:type="table" w:styleId="TableGrid">
    <w:name w:val="Table Grid"/>
    <w:basedOn w:val="TableNormal"/>
    <w:uiPriority w:val="39"/>
    <w:rsid w:val="00DA56B4"/>
    <w:pPr>
      <w:spacing w:after="0" w:line="240" w:lineRule="auto"/>
    </w:pPr>
    <w:rPr>
      <w:color w:val="414042" w:themeColor="accent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A56B4"/>
    <w:pPr>
      <w:spacing w:after="0" w:line="240" w:lineRule="auto"/>
    </w:pPr>
    <w:rPr>
      <w:rFonts w:cstheme="minorHAnsi"/>
      <w:color w:val="414042" w:themeColor="accent6"/>
    </w:rPr>
  </w:style>
  <w:style w:type="paragraph" w:styleId="Header">
    <w:name w:val="header"/>
    <w:basedOn w:val="Normal"/>
    <w:link w:val="HeaderChar"/>
    <w:uiPriority w:val="99"/>
    <w:unhideWhenUsed/>
    <w:rsid w:val="00DA5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6B4"/>
    <w:rPr>
      <w:rFonts w:cstheme="minorHAnsi"/>
      <w:color w:val="414042" w:themeColor="accent6"/>
    </w:rPr>
  </w:style>
  <w:style w:type="paragraph" w:styleId="Footer">
    <w:name w:val="footer"/>
    <w:basedOn w:val="Normal"/>
    <w:link w:val="FooterChar"/>
    <w:uiPriority w:val="99"/>
    <w:unhideWhenUsed/>
    <w:rsid w:val="00DA5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6B4"/>
    <w:rPr>
      <w:rFonts w:cstheme="minorHAnsi"/>
      <w:color w:val="414042" w:themeColor="accent6"/>
    </w:rPr>
  </w:style>
  <w:style w:type="paragraph" w:styleId="Title">
    <w:name w:val="Title"/>
    <w:basedOn w:val="Normal"/>
    <w:next w:val="Normal"/>
    <w:link w:val="TitleChar"/>
    <w:uiPriority w:val="10"/>
    <w:qFormat/>
    <w:rsid w:val="00DA56B4"/>
    <w:pPr>
      <w:spacing w:before="6120" w:after="0" w:line="240" w:lineRule="auto"/>
      <w:contextualSpacing/>
    </w:pPr>
    <w:rPr>
      <w:rFonts w:ascii="Corbel" w:eastAsiaTheme="majorEastAsia" w:hAnsi="Corbel" w:cstheme="majorBidi"/>
      <w:b/>
      <w:color w:val="0075BF" w:themeColor="text2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6B4"/>
    <w:rPr>
      <w:rFonts w:ascii="Corbel" w:eastAsiaTheme="majorEastAsia" w:hAnsi="Corbel" w:cstheme="majorBidi"/>
      <w:b/>
      <w:color w:val="0075BF" w:themeColor="text2"/>
      <w:spacing w:val="-10"/>
      <w:kern w:val="28"/>
      <w:sz w:val="8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6B4"/>
    <w:pPr>
      <w:numPr>
        <w:ilvl w:val="1"/>
      </w:numPr>
      <w:spacing w:before="240" w:after="160" w:line="276" w:lineRule="auto"/>
    </w:pPr>
    <w:rPr>
      <w:rFonts w:eastAsiaTheme="minorEastAsia" w:cstheme="minorBidi"/>
      <w:color w:val="5A5A5A" w:themeColor="text1" w:themeTint="A5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DA56B4"/>
    <w:rPr>
      <w:rFonts w:eastAsiaTheme="minorEastAsia"/>
      <w:color w:val="5A5A5A" w:themeColor="text1" w:themeTint="A5"/>
      <w:spacing w:val="15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rsid w:val="00DA56B4"/>
    <w:rPr>
      <w:rFonts w:ascii="Calibri" w:eastAsiaTheme="majorEastAsia" w:hAnsi="Calibri" w:cstheme="majorBidi"/>
      <w:b/>
      <w:color w:val="414042" w:themeColor="accent6"/>
      <w:sz w:val="24"/>
      <w:szCs w:val="24"/>
    </w:rPr>
  </w:style>
  <w:style w:type="paragraph" w:customStyle="1" w:styleId="DataEntry">
    <w:name w:val="Data Entry"/>
    <w:basedOn w:val="NoSpacing"/>
    <w:next w:val="Normal"/>
    <w:link w:val="DataEntryChar"/>
    <w:rsid w:val="00E4490B"/>
  </w:style>
  <w:style w:type="character" w:customStyle="1" w:styleId="DataEntryChar">
    <w:name w:val="Data Entry Char"/>
    <w:basedOn w:val="DefaultParagraphFont"/>
    <w:link w:val="DataEntry"/>
    <w:rsid w:val="00E4490B"/>
    <w:rPr>
      <w:rFonts w:cstheme="minorHAnsi"/>
      <w:color w:val="414042" w:themeColor="accent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go.ca/satellite-manual/1-0-introduction/1-4-pogo-satellite-manual-disclaim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go.ca/satellite-manua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linical%20Programs\Satellite\BLUEPRINT\Manual%20Review%202021\Communications\Template%20and%20Styles.dotx" TargetMode="External"/></Relationships>
</file>

<file path=word/theme/theme1.xml><?xml version="1.0" encoding="utf-8"?>
<a:theme xmlns:a="http://schemas.openxmlformats.org/drawingml/2006/main" name="POGO1">
  <a:themeElements>
    <a:clrScheme name="POGO1">
      <a:dk1>
        <a:sysClr val="windowText" lastClr="000000"/>
      </a:dk1>
      <a:lt1>
        <a:sysClr val="window" lastClr="FFFFFF"/>
      </a:lt1>
      <a:dk2>
        <a:srgbClr val="0075BF"/>
      </a:dk2>
      <a:lt2>
        <a:srgbClr val="0099D8"/>
      </a:lt2>
      <a:accent1>
        <a:srgbClr val="00B0E5"/>
      </a:accent1>
      <a:accent2>
        <a:srgbClr val="7DC242"/>
      </a:accent2>
      <a:accent3>
        <a:srgbClr val="F6CF3E"/>
      </a:accent3>
      <a:accent4>
        <a:srgbClr val="A1007D"/>
      </a:accent4>
      <a:accent5>
        <a:srgbClr val="D31D57"/>
      </a:accent5>
      <a:accent6>
        <a:srgbClr val="414042"/>
      </a:accent6>
      <a:hlink>
        <a:srgbClr val="0075BF"/>
      </a:hlink>
      <a:folHlink>
        <a:srgbClr val="A10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and Styles.dotx</Template>
  <TotalTime>46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Intravenous Pentamidine | POGO Satellite Manual</vt:lpstr>
    </vt:vector>
  </TitlesOfParts>
  <Company>POGO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Intravenous Pentamidine | POGO Satellite Manual</dc:title>
  <dc:subject/>
  <dc:creator>Pediatric Oncology Group of Ontario</dc:creator>
  <cp:keywords/>
  <dc:description/>
  <cp:lastModifiedBy>Mandy Sala</cp:lastModifiedBy>
  <cp:revision>10</cp:revision>
  <cp:lastPrinted>2022-02-07T15:17:00Z</cp:lastPrinted>
  <dcterms:created xsi:type="dcterms:W3CDTF">2022-02-02T15:42:00Z</dcterms:created>
  <dcterms:modified xsi:type="dcterms:W3CDTF">2022-02-07T16:59:00Z</dcterms:modified>
</cp:coreProperties>
</file>